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102235</wp:posOffset>
            </wp:positionV>
            <wp:extent cx="3214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76835</wp:posOffset>
            </wp:positionV>
            <wp:extent cx="3214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68" w:lineRule="exact"/>
        <w:rPr>
          <w:sz w:val="24"/>
          <w:szCs w:val="24"/>
          <w:color w:val="auto"/>
        </w:rPr>
      </w:pPr>
    </w:p>
    <w:p>
      <w:pPr>
        <w:jc w:val="center"/>
        <w:ind w:left="3760" w:right="940" w:hanging="2812"/>
        <w:spacing w:after="0" w:line="315" w:lineRule="auto"/>
        <w:tabs>
          <w:tab w:leader="none" w:pos="11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29, 2025</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or</w:t>
      </w:r>
    </w:p>
    <w:p>
      <w:pPr>
        <w:spacing w:after="0" w:line="59" w:lineRule="exact"/>
        <w:rPr>
          <w:sz w:val="24"/>
          <w:szCs w:val="24"/>
          <w:color w:val="auto"/>
        </w:rPr>
      </w:pPr>
    </w:p>
    <w:p>
      <w:pPr>
        <w:ind w:left="1120" w:hanging="201"/>
        <w:spacing w:after="0"/>
        <w:tabs>
          <w:tab w:leader="none" w:pos="11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7"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1-16153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102870</wp:posOffset>
            </wp:positionV>
            <wp:extent cx="3214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Tapestry,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247" w:right="339" w:bottom="1440" w:gutter="0" w:footer="0" w:header="0"/>
        </w:sectPr>
      </w:pPr>
    </w:p>
    <w:p>
      <w:pPr>
        <w:spacing w:after="0" w:line="127"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6"/>
          <w:szCs w:val="16"/>
          <w:b w:val="1"/>
          <w:bCs w:val="1"/>
          <w:color w:val="auto"/>
        </w:rPr>
        <w:t>Maryland</w:t>
      </w:r>
    </w:p>
    <w:p>
      <w:pPr>
        <w:spacing w:after="0" w:line="34"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6"/>
          <w:szCs w:val="16"/>
          <w:b w:val="1"/>
          <w:bCs w:val="1"/>
          <w:color w:val="auto"/>
        </w:rPr>
        <w:t>52-2242751</w:t>
      </w:r>
    </w:p>
    <w:p>
      <w:pPr>
        <w:spacing w:after="0" w:line="34"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140" w:space="720"/>
            <w:col w:w="4380"/>
          </w:cols>
          <w:pgMar w:left="320" w:top="1247" w:right="339" w:bottom="1440" w:gutter="0" w:footer="0" w:header="0"/>
          <w:type w:val="continuous"/>
        </w:sectPr>
      </w:pP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Hudson Yards, New York, NY 10001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946-8400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108585</wp:posOffset>
            </wp:positionV>
            <wp:extent cx="3214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55" w:lineRule="exact"/>
        <w:rPr>
          <w:sz w:val="24"/>
          <w:szCs w:val="24"/>
          <w:color w:val="auto"/>
        </w:rPr>
      </w:pPr>
    </w:p>
    <w:tbl>
      <w:tblPr>
        <w:tblLayout w:type="fixed"/>
        <w:tblInd w:w="1200" w:type="dxa"/>
        <w:tblCellMar>
          <w:top w:w="0" w:type="dxa"/>
          <w:left w:w="0" w:type="dxa"/>
          <w:bottom w:w="0" w:type="dxa"/>
          <w:right w:w="0" w:type="dxa"/>
        </w:tblCellMar>
      </w:tblPr>
      <w:tr>
        <w:trPr>
          <w:trHeight w:val="161"/>
        </w:trPr>
        <w:tc>
          <w:tcPr>
            <w:tcW w:w="3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96"/>
        </w:trPr>
        <w:tc>
          <w:tcPr>
            <w:tcW w:w="3180" w:type="dxa"/>
            <w:vAlign w:val="bottom"/>
            <w:gridSpan w:val="2"/>
            <w:vMerge w:val="continue"/>
          </w:tcPr>
          <w:p>
            <w:pPr>
              <w:spacing w:after="0"/>
              <w:rPr>
                <w:sz w:val="17"/>
                <w:szCs w:val="17"/>
                <w:color w:val="auto"/>
              </w:rPr>
            </w:pPr>
          </w:p>
        </w:tc>
        <w:tc>
          <w:tcPr>
            <w:tcW w:w="3000" w:type="dxa"/>
            <w:vAlign w:val="bottom"/>
            <w:gridSpan w:val="2"/>
            <w:vMerge w:val="continue"/>
          </w:tcPr>
          <w:p>
            <w:pPr>
              <w:spacing w:after="0"/>
              <w:rPr>
                <w:sz w:val="17"/>
                <w:szCs w:val="17"/>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210"/>
        </w:trPr>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340" w:type="dxa"/>
            <w:vAlign w:val="bottom"/>
          </w:tcPr>
          <w:p>
            <w:pPr>
              <w:spacing w:after="0"/>
              <w:rPr>
                <w:sz w:val="18"/>
                <w:szCs w:val="18"/>
                <w:color w:val="auto"/>
              </w:rPr>
            </w:pPr>
          </w:p>
        </w:tc>
        <w:tc>
          <w:tcPr>
            <w:tcW w:w="2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TPR</w:t>
            </w:r>
          </w:p>
        </w:tc>
        <w:tc>
          <w:tcPr>
            <w:tcW w:w="34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200" w:lineRule="exact"/>
        <w:rPr>
          <w:sz w:val="24"/>
          <w:szCs w:val="24"/>
          <w:color w:val="auto"/>
        </w:rPr>
      </w:pPr>
    </w:p>
    <w:p>
      <w:pPr>
        <w:jc w:val="both"/>
        <w:ind w:firstLine="162"/>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59" w:lineRule="exact"/>
        <w:rPr>
          <w:sz w:val="24"/>
          <w:szCs w:val="24"/>
          <w:color w:val="auto"/>
        </w:rPr>
      </w:pPr>
    </w:p>
    <w:p>
      <w:pPr>
        <w:jc w:val="both"/>
        <w:ind w:firstLine="162"/>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w:t>
      </w:r>
    </w:p>
    <w:p>
      <w:pPr>
        <w:spacing w:after="0" w:line="1"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No</w:t>
      </w:r>
    </w:p>
    <w:p>
      <w:pPr>
        <w:spacing w:after="0" w:line="112" w:lineRule="exact"/>
        <w:rPr>
          <w:sz w:val="24"/>
          <w:szCs w:val="24"/>
          <w:color w:val="auto"/>
        </w:rPr>
      </w:pPr>
    </w:p>
    <w:p>
      <w:pPr>
        <w:jc w:val="both"/>
        <w:ind w:firstLine="162"/>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47" w:right="339" w:bottom="1440" w:gutter="0" w:footer="0" w:header="0"/>
          <w:type w:val="continuous"/>
        </w:sectPr>
      </w:pPr>
    </w:p>
    <w:p>
      <w:pPr>
        <w:spacing w:after="0" w:line="170" w:lineRule="exact"/>
        <w:rPr>
          <w:sz w:val="24"/>
          <w:szCs w:val="24"/>
          <w:color w:val="auto"/>
        </w:rPr>
      </w:pPr>
    </w:p>
    <w:p>
      <w:pPr>
        <w:ind w:left="20"/>
        <w:spacing w:after="0" w:line="316" w:lineRule="auto"/>
        <w:rPr>
          <w:sz w:val="20"/>
          <w:szCs w:val="20"/>
          <w:color w:val="auto"/>
        </w:rPr>
      </w:pPr>
      <w:r>
        <w:rPr>
          <w:rFonts w:ascii="Times New Roman" w:cs="Times New Roman" w:eastAsia="Times New Roman" w:hAnsi="Times New Roman"/>
          <w:sz w:val="16"/>
          <w:szCs w:val="16"/>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58" w:lineRule="exact"/>
        <w:rPr>
          <w:sz w:val="24"/>
          <w:szCs w:val="24"/>
          <w:color w:val="auto"/>
        </w:rPr>
      </w:pPr>
    </w:p>
    <w:p>
      <w:pPr>
        <w:sectPr>
          <w:pgSz w:w="11900" w:h="16838" w:orient="portrait"/>
          <w:cols w:equalWidth="0" w:num="8">
            <w:col w:w="1800" w:space="660"/>
            <w:col w:w="160" w:space="220"/>
            <w:col w:w="1720" w:space="720"/>
            <w:col w:w="160" w:space="220"/>
            <w:col w:w="1760" w:space="720"/>
            <w:col w:w="160" w:space="220"/>
            <w:col w:w="1780" w:space="680"/>
            <w:col w:w="260"/>
          </w:cols>
          <w:pgMar w:left="320" w:top="1247" w:right="339" w:bottom="1440" w:gutter="0" w:footer="0" w:header="0"/>
          <w:type w:val="continuous"/>
        </w:sectPr>
      </w:pPr>
    </w:p>
    <w:p>
      <w:pPr>
        <w:ind w:right="20" w:firstLine="162"/>
        <w:spacing w:after="0" w:line="23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2" w:lineRule="exact"/>
        <w:rPr>
          <w:sz w:val="24"/>
          <w:szCs w:val="24"/>
          <w:color w:val="auto"/>
        </w:rPr>
      </w:pPr>
    </w:p>
    <w:p>
      <w:pPr>
        <w:ind w:left="18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6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On April 25, 2025, the Registrant had 207,690,147 outstanding shares of common stock, which is the Registrant’s only class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757555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151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color w:val="auto"/>
              </w:rPr>
              <w:t>Page Number</w:t>
            </w:r>
          </w:p>
        </w:tc>
      </w:tr>
      <w:tr>
        <w:trPr>
          <w:trHeight w:val="210"/>
        </w:trPr>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500" w:type="dxa"/>
            <w:vAlign w:val="bottom"/>
            <w:gridSpan w:val="9"/>
            <w:shd w:val="clear" w:color="auto" w:fill="CCEEFF"/>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 (unaudited)</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8480" w:type="dxa"/>
            <w:vAlign w:val="bottom"/>
            <w:gridSpan w:val="1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Financial Statements:</w:t>
            </w: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800" w:type="dxa"/>
            <w:vAlign w:val="bottom"/>
            <w:gridSpan w:val="4"/>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6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4480" w:type="dxa"/>
            <w:vAlign w:val="bottom"/>
            <w:gridSpan w:val="7"/>
            <w:shd w:val="clear" w:color="auto" w:fill="CCEEFF"/>
          </w:tcPr>
          <w:p>
            <w:pPr>
              <w:spacing w:after="0"/>
              <w:rPr>
                <w:sz w:val="16"/>
                <w:szCs w:val="16"/>
                <w:color w:val="auto"/>
              </w:rPr>
            </w:pPr>
          </w:p>
        </w:tc>
        <w:tc>
          <w:tcPr>
            <w:tcW w:w="800" w:type="dxa"/>
            <w:vAlign w:val="bottom"/>
            <w:gridSpan w:val="4"/>
            <w:shd w:val="clear" w:color="auto" w:fill="CCEEFF"/>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6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800" w:type="dxa"/>
            <w:vAlign w:val="bottom"/>
            <w:gridSpan w:val="4"/>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6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72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4420" w:type="dxa"/>
            <w:vAlign w:val="bottom"/>
            <w:gridSpan w:val="6"/>
            <w:shd w:val="clear" w:color="auto" w:fill="CCEEFF"/>
          </w:tcPr>
          <w:p>
            <w:pPr>
              <w:spacing w:after="0"/>
              <w:rPr>
                <w:sz w:val="16"/>
                <w:szCs w:val="16"/>
                <w:color w:val="auto"/>
              </w:rPr>
            </w:pPr>
          </w:p>
        </w:tc>
        <w:tc>
          <w:tcPr>
            <w:tcW w:w="800" w:type="dxa"/>
            <w:vAlign w:val="bottom"/>
            <w:gridSpan w:val="4"/>
            <w:shd w:val="clear" w:color="auto" w:fill="CCEEFF"/>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6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00" w:type="dxa"/>
            <w:vAlign w:val="bottom"/>
            <w:gridSpan w:val="4"/>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6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480" w:type="dxa"/>
            <w:vAlign w:val="bottom"/>
            <w:gridSpan w:val="15"/>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gridSpan w:val="4"/>
            <w:shd w:val="clear" w:color="auto" w:fill="CCEEFF"/>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6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8480" w:type="dxa"/>
            <w:vAlign w:val="bottom"/>
            <w:gridSpan w:val="15"/>
          </w:tcPr>
          <w:p>
            <w:pPr>
              <w:ind w:left="22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gridSpan w:val="4"/>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w w:val="99"/>
              </w:rPr>
              <w:t>56</w:t>
            </w:r>
          </w:p>
        </w:tc>
        <w:tc>
          <w:tcPr>
            <w:tcW w:w="6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8480" w:type="dxa"/>
            <w:vAlign w:val="bottom"/>
            <w:gridSpan w:val="15"/>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800" w:type="dxa"/>
            <w:vAlign w:val="bottom"/>
            <w:gridSpan w:val="4"/>
            <w:shd w:val="clear" w:color="auto" w:fill="CCEEFF"/>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w w:val="99"/>
              </w:rPr>
              <w:t>56</w:t>
            </w:r>
          </w:p>
        </w:tc>
        <w:tc>
          <w:tcPr>
            <w:tcW w:w="60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6500" w:type="dxa"/>
            <w:vAlign w:val="bottom"/>
            <w:tcBorders>
              <w:top w:val="single" w:sz="8" w:color="CCEEFF"/>
            </w:tcBorders>
            <w:gridSpan w:val="9"/>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62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r>
      <w:tr>
        <w:trPr>
          <w:trHeight w:val="189"/>
        </w:trPr>
        <w:tc>
          <w:tcPr>
            <w:tcW w:w="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8480" w:type="dxa"/>
            <w:vAlign w:val="bottom"/>
            <w:gridSpan w:val="15"/>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gridSpan w:val="4"/>
            <w:shd w:val="clear" w:color="auto" w:fill="CCEEFF"/>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w w:val="99"/>
              </w:rPr>
              <w:t>57</w:t>
            </w:r>
          </w:p>
        </w:tc>
        <w:tc>
          <w:tcPr>
            <w:tcW w:w="6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8480" w:type="dxa"/>
            <w:vAlign w:val="bottom"/>
            <w:gridSpan w:val="15"/>
          </w:tcPr>
          <w:p>
            <w:pPr>
              <w:ind w:left="22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gridSpan w:val="4"/>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w w:val="99"/>
              </w:rPr>
              <w:t>57</w:t>
            </w:r>
          </w:p>
        </w:tc>
        <w:tc>
          <w:tcPr>
            <w:tcW w:w="6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480" w:type="dxa"/>
            <w:vAlign w:val="bottom"/>
            <w:gridSpan w:val="15"/>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00" w:type="dxa"/>
            <w:vAlign w:val="bottom"/>
            <w:gridSpan w:val="4"/>
            <w:shd w:val="clear" w:color="auto" w:fill="CCEEFF"/>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w w:val="99"/>
              </w:rPr>
              <w:t>58</w:t>
            </w:r>
          </w:p>
        </w:tc>
        <w:tc>
          <w:tcPr>
            <w:tcW w:w="6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8480" w:type="dxa"/>
            <w:vAlign w:val="bottom"/>
            <w:gridSpan w:val="15"/>
          </w:tcPr>
          <w:p>
            <w:pPr>
              <w:ind w:left="22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800" w:type="dxa"/>
            <w:vAlign w:val="bottom"/>
            <w:gridSpan w:val="4"/>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w w:val="99"/>
              </w:rPr>
              <w:t>58</w:t>
            </w:r>
          </w:p>
        </w:tc>
        <w:tc>
          <w:tcPr>
            <w:tcW w:w="6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center"/>
              <w:ind w:left="530"/>
              <w:spacing w:after="0" w:line="189" w:lineRule="exact"/>
              <w:rPr>
                <w:sz w:val="20"/>
                <w:szCs w:val="20"/>
                <w:color w:val="auto"/>
              </w:rPr>
            </w:pPr>
            <w:r>
              <w:rPr>
                <w:rFonts w:ascii="Times New Roman" w:cs="Times New Roman" w:eastAsia="Times New Roman" w:hAnsi="Times New Roman"/>
                <w:sz w:val="18"/>
                <w:szCs w:val="18"/>
                <w:color w:val="0000FF"/>
                <w:w w:val="99"/>
              </w:rPr>
              <w:t>59</w:t>
            </w:r>
          </w:p>
        </w:tc>
        <w:tc>
          <w:tcPr>
            <w:tcW w:w="600" w:type="dxa"/>
            <w:vAlign w:val="bottom"/>
            <w:shd w:val="clear" w:color="auto" w:fill="CCEEFF"/>
          </w:tcPr>
          <w:p>
            <w:pPr>
              <w:spacing w:after="0"/>
              <w:rPr>
                <w:sz w:val="18"/>
                <w:szCs w:val="18"/>
                <w:color w:val="auto"/>
              </w:rPr>
            </w:pPr>
          </w:p>
        </w:tc>
      </w:tr>
      <w:tr>
        <w:trPr>
          <w:trHeight w:val="965"/>
        </w:trPr>
        <w:tc>
          <w:tcPr>
            <w:tcW w:w="20" w:type="dxa"/>
            <w:vAlign w:val="bottom"/>
            <w:tcBorders>
              <w:top w:val="single" w:sz="8" w:color="CCEEFF"/>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1300" w:type="dxa"/>
            <w:vAlign w:val="bottom"/>
            <w:tcBorders>
              <w:top w:val="single" w:sz="8" w:color="CCEEFF"/>
              <w:bottom w:val="single" w:sz="8" w:color="9A9A9A"/>
            </w:tcBorders>
          </w:tcPr>
          <w:p>
            <w:pPr>
              <w:spacing w:after="0"/>
              <w:rPr>
                <w:sz w:val="24"/>
                <w:szCs w:val="24"/>
                <w:color w:val="auto"/>
              </w:rPr>
            </w:pPr>
          </w:p>
        </w:tc>
        <w:tc>
          <w:tcPr>
            <w:tcW w:w="7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c>
          <w:tcPr>
            <w:tcW w:w="1260" w:type="dxa"/>
            <w:vAlign w:val="bottom"/>
            <w:tcBorders>
              <w:top w:val="single" w:sz="8" w:color="CCEEFF"/>
              <w:bottom w:val="single" w:sz="8" w:color="9A9A9A"/>
            </w:tcBorders>
          </w:tcPr>
          <w:p>
            <w:pPr>
              <w:spacing w:after="0"/>
              <w:rPr>
                <w:sz w:val="24"/>
                <w:szCs w:val="24"/>
                <w:color w:val="auto"/>
              </w:rPr>
            </w:pPr>
          </w:p>
        </w:tc>
        <w:tc>
          <w:tcPr>
            <w:tcW w:w="180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 this Form 10-Q, references to “we,” “our,” “us,” "Tapestry" and the “Company” refer to Tapestry, Inc., including consolidated subsidiaries. References to "Coach," "Kate Spade," "kate spade new york" or "Stuart Weitzman" refer only to the referenced brand.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ON FORWARD-LOOKING INFORMATION</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document, and the documents incorporated by reference in this document, our press releases and oral statements made from time to time by us or on our behalf, may contain certain "forward-looking statements" within the meaning of the federal securities laws, including Section 27A of the Securities Act of 1933, as amended, and Section 21E of the Securities Exchange Act of 1934, as amended, and are based on management's current expectations, that involve risks and uncertainties that could cause our actual results to differ materially from our current expectations. In this context, forward-looking statements often address expected future business and financial performance and financial condition, and often contain words such as "may," "can," "if," "continue," "project," "assumption," "should," "expect," "confidence," "goals," "trends," "anticipate," "intend," "estimate," "on track," "future," "well positioned to," "plan," "potential," "position," "deliver," "believe," "seek," "see," "will," "would," "uncertain," "achieve," "strategic," "growth," "target," "guidance," "forecast," "outlook," "commit," "innovation," "drive," "leverage," "generate," "enhance," "effort," "progress," "we can stretch what’s possible," similar expressions, and variations or negatives of these words. Forward-looking statements by their nature address matters that are, to different degrees, uncertain. Such statements involve risks, uncertainties and assumptions. If such risks or uncertainties materialize or such assumptions prove incorrect, the results of Tapestry, Inc. and its consolidated subsidiaries could differ materially from those expressed or implied by such forward-looking statements and assumptions. All statements other than statements of historical fact are statements that could be deemed forward-looking statements. Tapestry, Inc. assumes no obligation to revise or update any such forward-looking statements for any reason, except as required by law.</w:t>
      </w:r>
    </w:p>
    <w:p>
      <w:pPr>
        <w:spacing w:after="0" w:line="7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Tapestry, Inc.’s actual results could differ materially from the results contemplated by these forward-looking statements and are subject to a number of risks, uncertainties, estimates and assumptions that may cause actual results to differ materially from current expectations due to a number of factors, including, but not limited to: (i) the impact of international trade disputes and the risks associated with potential changes to international trade agreements, including the imposition or threat of imposition of new or increased tariffs or retaliatory tariffs implemented by countries where our manufacturers are located as well as the imposition of additional duties on the products we import; (ii) the impact of economic conditions, recession and inflationary measures; (iii) our exposure to international risks, including currency fluctuations and changes in economic or political conditions in the markets where we sell or source our products; (iv) our ability to retain the value of our brands and to respond to changing fashion and retail trends in a timely manner, including our ability to execute on our e-commerce and digital strategies; (v) the impact of tax and other legislation; (vi) our ability to successfully implement the initiatives under our 2025 growth strategy; (vii) the effect of existing and new competition in the marketplace; (viii) our ability to successfully identify and implement any sales, acquisitions or strategic transactions on attractive terms or at all, including our proposed sale of the Stuart Weitzman Business; (ix) our ability to achieve intended benefits, cost savings and synergies from acquisitions; (x) our ability to control costs; (xi) the effect of seasonal and quarterly fluctuations on our sales or operating results; (xii) the risk of cyber security threats and privacy or data security breaches; (xiii) our ability to satisfy our outstanding debt obligations or incur additional indebtedness; (xiv) the risks associated with climate change and other corporate responsibility issues; (xv) our ability to protect against infringement of our trademarks and other proprietary rights; and (xvi) the impact of pending and potential future legal proceedings and (xvii) such other risk factors as set forth in Part II, Item 1A. "Risk Factors" and elsewhere in this report and in the Company’s Annual Report on Form 10-K for the fiscal year ended June 29, 2024. These factors are not necessarily all of the factors that could cause actual results to differ materially from those expressed in any of our forward-looking statements.</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Tapestry's quarterly financial results and other important information are available by calling the Investor Relations Department at (212) 946-7252.</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Tapestry maintains its website at </w:t>
      </w:r>
      <w:r>
        <w:rPr>
          <w:rFonts w:ascii="Times New Roman" w:cs="Times New Roman" w:eastAsia="Times New Roman" w:hAnsi="Times New Roman"/>
          <w:sz w:val="18"/>
          <w:szCs w:val="18"/>
          <w:u w:val="single" w:color="auto"/>
          <w:color w:val="auto"/>
        </w:rPr>
        <w:t>www.tapestry.com</w:t>
      </w:r>
      <w:r>
        <w:rPr>
          <w:rFonts w:ascii="Times New Roman" w:cs="Times New Roman" w:eastAsia="Times New Roman" w:hAnsi="Times New Roman"/>
          <w:sz w:val="18"/>
          <w:szCs w:val="18"/>
          <w:color w:val="auto"/>
        </w:rPr>
        <w:t xml:space="preserve"> where investors and other interested parties may obtain, free of charge, press releases and other information as well as gain access to our periodic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340" w:type="dxa"/>
            <w:vAlign w:val="bottom"/>
          </w:tcPr>
          <w:p>
            <w:pPr>
              <w:spacing w:after="0"/>
              <w:rPr>
                <w:sz w:val="17"/>
                <w:szCs w:val="17"/>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June 29,</w:t>
            </w:r>
          </w:p>
        </w:tc>
        <w:tc>
          <w:tcPr>
            <w:tcW w:w="0" w:type="dxa"/>
            <w:vAlign w:val="bottom"/>
          </w:tcPr>
          <w:p>
            <w:pPr>
              <w:spacing w:after="0"/>
              <w:rPr>
                <w:sz w:val="1"/>
                <w:szCs w:val="1"/>
                <w:color w:val="auto"/>
              </w:rPr>
            </w:pPr>
          </w:p>
        </w:tc>
      </w:tr>
      <w:tr>
        <w:trPr>
          <w:trHeight w:val="241"/>
        </w:trPr>
        <w:tc>
          <w:tcPr>
            <w:tcW w:w="8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62"/>
        </w:trPr>
        <w:tc>
          <w:tcPr>
            <w:tcW w:w="8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3"/>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140" w:type="dxa"/>
            <w:vAlign w:val="bottom"/>
            <w:shd w:val="clear" w:color="auto" w:fill="CCEEFF"/>
          </w:tcPr>
          <w:p>
            <w:pPr>
              <w:ind w:left="3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6,142.0</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receivable, less allowances for credit losses of $5.6 and $6.9, respectively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Assets held for sale</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8,803.7</w:t>
            </w:r>
          </w:p>
        </w:tc>
        <w:tc>
          <w:tcPr>
            <w:tcW w:w="0" w:type="dxa"/>
            <w:vAlign w:val="bottom"/>
          </w:tcPr>
          <w:p>
            <w:pPr>
              <w:spacing w:after="0"/>
              <w:rPr>
                <w:sz w:val="1"/>
                <w:szCs w:val="1"/>
                <w:color w:val="auto"/>
              </w:rPr>
            </w:pP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$1,186.2 and $1,263.3, respectively</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1,314.4</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0" w:type="dxa"/>
            <w:vAlign w:val="bottom"/>
          </w:tcPr>
          <w:p>
            <w:pPr>
              <w:spacing w:after="0"/>
              <w:rPr>
                <w:sz w:val="1"/>
                <w:szCs w:val="1"/>
                <w:color w:val="auto"/>
              </w:rPr>
            </w:pP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2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7,306.2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13,396.3</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40" w:type="dxa"/>
            <w:vAlign w:val="bottom"/>
            <w:shd w:val="clear" w:color="auto" w:fill="CCEEFF"/>
          </w:tcPr>
          <w:p>
            <w:pPr>
              <w:ind w:left="21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0" w:type="dxa"/>
            <w:vAlign w:val="bottom"/>
          </w:tcPr>
          <w:p>
            <w:pPr>
              <w:spacing w:after="0"/>
              <w:rPr>
                <w:sz w:val="1"/>
                <w:szCs w:val="1"/>
                <w:color w:val="auto"/>
              </w:rPr>
            </w:pP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0" w:type="dxa"/>
            <w:vAlign w:val="bottom"/>
          </w:tcPr>
          <w:p>
            <w:pPr>
              <w:spacing w:after="0"/>
              <w:rPr>
                <w:sz w:val="1"/>
                <w:szCs w:val="1"/>
                <w:color w:val="auto"/>
              </w:rPr>
            </w:pP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debt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1,711.6</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6,937.2</w:t>
            </w:r>
          </w:p>
        </w:tc>
        <w:tc>
          <w:tcPr>
            <w:tcW w:w="0" w:type="dxa"/>
            <w:vAlign w:val="bottom"/>
          </w:tcPr>
          <w:p>
            <w:pPr>
              <w:spacing w:after="0"/>
              <w:rPr>
                <w:sz w:val="1"/>
                <w:szCs w:val="1"/>
                <w:color w:val="auto"/>
              </w:rPr>
            </w:pP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10,499.4</w:t>
            </w:r>
          </w:p>
        </w:tc>
        <w:tc>
          <w:tcPr>
            <w:tcW w:w="0" w:type="dxa"/>
            <w:vAlign w:val="bottom"/>
          </w:tcPr>
          <w:p>
            <w:pPr>
              <w:spacing w:after="0"/>
              <w:rPr>
                <w:sz w:val="1"/>
                <w:szCs w:val="1"/>
                <w:color w:val="auto"/>
              </w:rPr>
            </w:pPr>
          </w:p>
        </w:tc>
      </w:tr>
      <w:tr>
        <w:trPr>
          <w:trHeight w:val="148"/>
        </w:trPr>
        <w:tc>
          <w:tcPr>
            <w:tcW w:w="8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See Note 15 on commitments and contingencies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8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stock: (authorized 25.0 million shares; $0.01 par value per share) none issued</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Common stock: (authorized 1.00 billion shares; $0.01 par value per share) issued and outstanding - 207.7</w:t>
            </w:r>
          </w:p>
        </w:tc>
        <w:tc>
          <w:tcPr>
            <w:tcW w:w="2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million and 230.2 million shares, respectively</w:t>
            </w:r>
          </w:p>
        </w:tc>
        <w:tc>
          <w:tcPr>
            <w:tcW w:w="22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8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2,896.9</w:t>
            </w:r>
          </w:p>
        </w:tc>
        <w:tc>
          <w:tcPr>
            <w:tcW w:w="0" w:type="dxa"/>
            <w:vAlign w:val="bottom"/>
          </w:tcPr>
          <w:p>
            <w:pPr>
              <w:spacing w:after="0"/>
              <w:rPr>
                <w:sz w:val="1"/>
                <w:szCs w:val="1"/>
                <w:color w:val="auto"/>
              </w:rPr>
            </w:pPr>
          </w:p>
        </w:tc>
      </w:tr>
      <w:tr>
        <w:trPr>
          <w:trHeight w:val="223"/>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7,306.2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13,396.3</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180"/>
          </w:cols>
          <w:pgMar w:left="360" w:top="1130"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30" w:right="35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80" w:type="dxa"/>
            <w:vAlign w:val="bottom"/>
            <w:tcBorders>
              <w:right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2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March 30,</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w w:val="97"/>
              </w:rPr>
              <w:t>March 30,</w:t>
            </w:r>
          </w:p>
        </w:tc>
        <w:tc>
          <w:tcPr>
            <w:tcW w:w="0" w:type="dxa"/>
            <w:vAlign w:val="bottom"/>
          </w:tcPr>
          <w:p>
            <w:pPr>
              <w:spacing w:after="0"/>
              <w:rPr>
                <w:sz w:val="1"/>
                <w:szCs w:val="1"/>
                <w:color w:val="auto"/>
              </w:rPr>
            </w:pPr>
          </w:p>
        </w:tc>
      </w:tr>
      <w:tr>
        <w:trPr>
          <w:trHeight w:val="241"/>
        </w:trPr>
        <w:tc>
          <w:tcPr>
            <w:tcW w:w="5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4"/>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4"/>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0" w:type="dxa"/>
            <w:vAlign w:val="bottom"/>
          </w:tcPr>
          <w:p>
            <w:pPr>
              <w:spacing w:after="0"/>
              <w:rPr>
                <w:sz w:val="1"/>
                <w:szCs w:val="1"/>
                <w:color w:val="auto"/>
              </w:rPr>
            </w:pPr>
          </w:p>
        </w:tc>
      </w:tr>
      <w:tr>
        <w:trPr>
          <w:trHeight w:val="191"/>
        </w:trPr>
        <w:tc>
          <w:tcPr>
            <w:tcW w:w="5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3"/>
          </w:tcPr>
          <w:p>
            <w:pPr>
              <w:jc w:val="center"/>
              <w:ind w:left="7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5,080.1</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1,381.8</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3,698.3</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0.95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 (loss) per share: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ind w:left="526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tcBorders>
              <w:right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0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w w:val="99"/>
              </w:rPr>
              <w:t>March 30,</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color w:val="auto"/>
              </w:rPr>
              <w:t>March 30,</w:t>
            </w:r>
          </w:p>
        </w:tc>
        <w:tc>
          <w:tcPr>
            <w:tcW w:w="0" w:type="dxa"/>
            <w:vAlign w:val="bottom"/>
          </w:tcPr>
          <w:p>
            <w:pPr>
              <w:spacing w:after="0"/>
              <w:rPr>
                <w:sz w:val="1"/>
                <w:szCs w:val="1"/>
                <w:color w:val="auto"/>
              </w:rPr>
            </w:pPr>
          </w:p>
        </w:tc>
      </w:tr>
      <w:tr>
        <w:trPr>
          <w:trHeight w:val="241"/>
        </w:trPr>
        <w:tc>
          <w:tcPr>
            <w:tcW w:w="4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3"/>
          </w:tcPr>
          <w:p>
            <w:pPr>
              <w:jc w:val="center"/>
              <w:ind w:left="79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3"/>
          </w:tcPr>
          <w:p>
            <w:pPr>
              <w:jc w:val="center"/>
              <w:ind w:left="91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3"/>
          </w:tcPr>
          <w:p>
            <w:pPr>
              <w:jc w:val="center"/>
              <w:ind w:left="81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3"/>
          </w:tcPr>
          <w:p>
            <w:pPr>
              <w:jc w:val="center"/>
              <w:ind w:left="91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7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gains (losses) on cash flow hedging derivatives,</w:t>
            </w:r>
          </w:p>
        </w:tc>
        <w:tc>
          <w:tcPr>
            <w:tcW w:w="2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176"/>
        </w:trPr>
        <w:tc>
          <w:tcPr>
            <w:tcW w:w="47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gains (losses) on available-for-sale investments,</w:t>
            </w:r>
          </w:p>
        </w:tc>
        <w:tc>
          <w:tcPr>
            <w:tcW w:w="20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ind w:left="526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8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60" w:type="dxa"/>
            <w:vAlign w:val="bottom"/>
          </w:tcPr>
          <w:p>
            <w:pPr>
              <w:spacing w:after="0"/>
              <w:rPr>
                <w:sz w:val="13"/>
                <w:szCs w:val="13"/>
                <w:color w:val="auto"/>
              </w:rPr>
            </w:pPr>
          </w:p>
        </w:tc>
        <w:tc>
          <w:tcPr>
            <w:tcW w:w="96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color w:val="auto"/>
              </w:rPr>
              <w:t>March 30,</w:t>
            </w:r>
          </w:p>
        </w:tc>
      </w:tr>
      <w:tr>
        <w:trPr>
          <w:trHeight w:val="214"/>
        </w:trPr>
        <w:tc>
          <w:tcPr>
            <w:tcW w:w="8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2024</w:t>
            </w:r>
          </w:p>
        </w:tc>
      </w:tr>
      <w:tr>
        <w:trPr>
          <w:trHeight w:val="186"/>
        </w:trPr>
        <w:tc>
          <w:tcPr>
            <w:tcW w:w="8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4"/>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191"/>
        </w:trPr>
        <w:tc>
          <w:tcPr>
            <w:tcW w:w="8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8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PROVIDED BY (USED IN) OPERATING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4"/>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656.7</w:t>
            </w:r>
          </w:p>
        </w:tc>
      </w:tr>
      <w:tr>
        <w:trPr>
          <w:trHeight w:val="218"/>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4"/>
        </w:trPr>
        <w:tc>
          <w:tcPr>
            <w:tcW w:w="8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r>
      <w:tr>
        <w:trPr>
          <w:trHeight w:val="218"/>
        </w:trPr>
        <w:tc>
          <w:tcPr>
            <w:tcW w:w="8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Provision for bad debt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4"/>
        </w:trPr>
        <w:tc>
          <w:tcPr>
            <w:tcW w:w="8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r>
      <w:tr>
        <w:trPr>
          <w:trHeight w:val="214"/>
        </w:trPr>
        <w:tc>
          <w:tcPr>
            <w:tcW w:w="8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218"/>
        </w:trPr>
        <w:tc>
          <w:tcPr>
            <w:tcW w:w="8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214"/>
        </w:trPr>
        <w:tc>
          <w:tcPr>
            <w:tcW w:w="8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Changes to lease related balances,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18"/>
        </w:trPr>
        <w:tc>
          <w:tcPr>
            <w:tcW w:w="8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non-cash charges,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3"/>
        </w:trPr>
        <w:tc>
          <w:tcPr>
            <w:tcW w:w="8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r>
      <w:tr>
        <w:trPr>
          <w:trHeight w:val="214"/>
        </w:trPr>
        <w:tc>
          <w:tcPr>
            <w:tcW w:w="89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w:t>
            </w:r>
          </w:p>
        </w:tc>
      </w:tr>
      <w:tr>
        <w:trPr>
          <w:trHeight w:val="218"/>
        </w:trPr>
        <w:tc>
          <w:tcPr>
            <w:tcW w:w="8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r>
      <w:tr>
        <w:trPr>
          <w:trHeight w:val="214"/>
        </w:trPr>
        <w:tc>
          <w:tcPr>
            <w:tcW w:w="89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r>
      <w:tr>
        <w:trPr>
          <w:trHeight w:val="218"/>
        </w:trPr>
        <w:tc>
          <w:tcPr>
            <w:tcW w:w="8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4"/>
        </w:trPr>
        <w:tc>
          <w:tcPr>
            <w:tcW w:w="89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w:t>
            </w:r>
          </w:p>
        </w:tc>
      </w:tr>
      <w:tr>
        <w:trPr>
          <w:trHeight w:val="211"/>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769.8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999.6</w:t>
            </w:r>
          </w:p>
        </w:tc>
      </w:tr>
      <w:tr>
        <w:trPr>
          <w:trHeight w:val="207"/>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PROVIDED BY (USED IN) INVESTING ACTIVITIES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(1,886.1)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(1,126.0)</w:t>
            </w:r>
          </w:p>
        </w:tc>
      </w:tr>
      <w:tr>
        <w:trPr>
          <w:trHeight w:val="214"/>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maturities and sales of investments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2,921.7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702.6</w:t>
            </w:r>
          </w:p>
        </w:tc>
      </w:tr>
      <w:tr>
        <w:trPr>
          <w:trHeight w:val="218"/>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r>
      <w:tr>
        <w:trPr>
          <w:trHeight w:val="208"/>
        </w:trPr>
        <w:tc>
          <w:tcPr>
            <w:tcW w:w="8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948.2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(486.1)</w:t>
            </w:r>
          </w:p>
        </w:tc>
      </w:tr>
      <w:tr>
        <w:trPr>
          <w:trHeight w:val="211"/>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PROVIDED BY (USED IN) FINANCING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4"/>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of dividends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w:t>
            </w:r>
          </w:p>
        </w:tc>
      </w:tr>
      <w:tr>
        <w:trPr>
          <w:trHeight w:val="218"/>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 repurchase not yet settled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debt, net of discount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2,248.1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6,089.5</w:t>
            </w:r>
          </w:p>
        </w:tc>
      </w:tr>
      <w:tr>
        <w:trPr>
          <w:trHeight w:val="214"/>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r>
      <w:tr>
        <w:trPr>
          <w:trHeight w:val="218"/>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debt extinguishment costs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 of debt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(6,859.9)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8"/>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share-based awards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4"/>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Taxes paid to net settle share-based awards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r>
      <w:tr>
        <w:trPr>
          <w:trHeight w:val="218"/>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 of revolving credit facility</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finance lease liabilities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8"/>
        </w:trPr>
        <w:tc>
          <w:tcPr>
            <w:tcW w:w="8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(6,808.4)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5,733.6</w:t>
            </w:r>
          </w:p>
        </w:tc>
      </w:tr>
      <w:tr>
        <w:trPr>
          <w:trHeight w:val="211"/>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4"/>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 including cash classified within assets held for sale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(5,075.0)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6,249.0</w:t>
            </w:r>
          </w:p>
        </w:tc>
      </w:tr>
      <w:tr>
        <w:trPr>
          <w:trHeight w:val="218"/>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Less: net (decrease) increase in cash classified within current assets held for sale</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(5,104.3)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6,249.0</w:t>
            </w:r>
          </w:p>
        </w:tc>
      </w:tr>
      <w:tr>
        <w:trPr>
          <w:trHeight w:val="218"/>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6,142.0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726.1</w:t>
            </w:r>
          </w:p>
        </w:tc>
      </w:tr>
      <w:tr>
        <w:trPr>
          <w:trHeight w:val="208"/>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1,037.7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6,975.1</w:t>
            </w:r>
          </w:p>
        </w:tc>
      </w:tr>
      <w:tr>
        <w:trPr>
          <w:trHeight w:val="198"/>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w:t>
            </w: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5"/>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activity - property and equipment obligations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1"/>
        </w:trPr>
        <w:tc>
          <w:tcPr>
            <w:tcW w:w="8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Tapestry, Inc. (the "Company") is a house of iconic accessories and lifestyle brands. Our global house of brands unites the magic of Coach, kate spade new york and Stuart Weitzman. Each of our brands is unique and independent, while sharing a commitment to innovation and authenticity defined by distinctive products and differentiated customer experiences across business channels and geographies. We use our collective strengths to move our customers and empower our communities, to make the fashion industry more sustainable and to build a company that’s equitable, inclusive and diverse. Individually, our brands are iconic. Together, we can stretch what’s possible.</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Coach, Kate Spade and Stuart Weitzman segments include global sales of products to customers through our direct-to-consumer ("DTC"), wholesale and licensing businesses. On February 16, 2025, the Company entered into a sale and purchase agreement (the “Purchase Agreement”) with Caleres, Inc (the “Purchaser”) pursuant to which the Company will sell the Stuart Weitzman Business (defined below). The transaction is expected to close in the summer of 2025, subject to customary closing conditions. Refer to Note 5, "Acquisitions and Divestitures," for further information.</w:t>
      </w:r>
    </w:p>
    <w:p>
      <w:pPr>
        <w:spacing w:after="0" w:line="176" w:lineRule="exact"/>
        <w:rPr>
          <w:sz w:val="20"/>
          <w:szCs w:val="20"/>
          <w:color w:val="auto"/>
        </w:rPr>
      </w:pPr>
    </w:p>
    <w:p>
      <w:pPr>
        <w:ind w:left="340" w:right="6800" w:hanging="251"/>
        <w:spacing w:after="0" w:line="378" w:lineRule="auto"/>
        <w:tabs>
          <w:tab w:leader="none" w:pos="27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ORGANIZATION </w:t>
      </w:r>
      <w:r>
        <w:rPr>
          <w:rFonts w:ascii="Times New Roman" w:cs="Times New Roman" w:eastAsia="Times New Roman" w:hAnsi="Times New Roman"/>
          <w:sz w:val="18"/>
          <w:szCs w:val="18"/>
          <w:b w:val="1"/>
          <w:bCs w:val="1"/>
          <w:i w:val="1"/>
          <w:iCs w:val="1"/>
          <w:color w:val="auto"/>
        </w:rPr>
        <w:t>Interim Financial Statements</w:t>
      </w: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have been prepared pursuant to the rules and regulations of the Securities and Exchange Commission ("SEC"). In the opinion of management, such condensed consolidated financial statements contain all normal and recurring adjustments necessary to present fairly the condensed consolidated financial position, results of operations, comprehensive income (loss) and cash flows of the Company for the interim periods presented. In addition, certain information and footnote disclosures normally included in financial statements prepared in accordance with accounting principles generally accepted in the U.S. ("U.S. GAAP") have been condensed or omitted from this report as is permitted by the SEC's rules and regulations. However, the Company believes that the disclosures provided herein are adequate to prevent the information presented from being misleading. This report should be read in conjunction with the audited consolidated financial statements and notes thereto, included in the Company’s Annual Report on Form 10-K for the year ended June 29, 2024 ("fiscal 2024") and other filings filed with the SEC.</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cash flows and comprehensive income for the nine months ended March 29, 2025 are not necessarily indicative of results to be expected for the entire fiscal year, which will end on June 28, 2025 ("fiscal 2025").</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Fiscal Periods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utilizes a 52-53 week fiscal year ending on the Saturday closest to June 30. Fiscal 2025 will be a 52-week period. Fiscal 2024, ended on June 29, 2024, was also a 52-week period. The third quarter of fiscal 2025 ended on March 29, 2025 and the third quarter of fiscal 2024 ended on March 30, 2024, both of which were 13-week periods.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condensed consolidated financial statements and footnotes thereto. Actual results could differ from estimates in amounts that may be material to the financial statements.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Significant estimates inherent in the preparation of the condensed consolidated financial statements include reserves for the realizability of inventory; asset retirement obligations; customer returns, end-of-season markdowns and operational chargebacks; useful lives and impairments of long-lived tangible and intangible assets; accounting for income taxes and related uncertain tax positions; accounting for business combinations; the valuation of stock-based compensation awards and related expected forfeiture rates; reserves for restructuring; and reserves for litigation and other contingencies, amongst others.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include the accounts of the Company and all 100% owned and controlled subsidiaries. All intercompany transactions and balances are eliminated in consolidation.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accounts for share repurchases by allocating the repurchase price to common stock and retained earnings. Under Maryland law, the Company's state of incorporation, there are no treasury shares. All repurchased shares are authorized but unissued shares; these shares may be issued in the future for general corporate and other purposes. The Company may terminate or limit the share repurchase programs at any time. The Company accrues for the shares purchased under the share repurchase plan based on the trade date. Purchases of the Company's common stock may be executed through open market purchases including through purchase agreements under Rule 10b5-1, in privately negotiated transactions or in other transactions, including accelerated share repurchase programs. Excise tax on net share repurchases are recorded in Retained earnings as part of Stockholders' Equity.</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improve our working capital efficiency, the Company makes available to certain suppliers a voluntary supply chain finance (“SCF”) program that enables our suppliers to sell their receivables from the Company to a global financial institution on a non-recourse basis at a rate that leverages our credit rating. The Company does not have the ability to refinance or modify payment terms to the global financial institution through the SCF program. No guarantees are provided by the Company or any of our subsidiaries under the SCF program. The Company’s payment obligations, including the amounts due and payment terms, which generally do not exceed 90 days, are not impacted by suppliers’ participation in the program. As of March 29, 2025 and June 29, 2024, $246.4 million and $294.9 million, respectively, was related to suppliers eligible to participate in the Company's SCF program and presented within Accounts payable on the Condensed Consolidated Balance Sheets.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reclassification has been made to the prior period's financial information to conform to the current period's presentation. Amortization of cloud computing arrangements of $41.1 million during the nine months ended March 30, 2024 has been reclassified out of Other assets and into Amortization of cloud computing arrangements within the Company’s Condensed Consolidated Statements of Cash Flows.</w:t>
      </w:r>
    </w:p>
    <w:p>
      <w:pPr>
        <w:spacing w:after="0" w:line="172" w:lineRule="exact"/>
        <w:rPr>
          <w:sz w:val="20"/>
          <w:szCs w:val="20"/>
          <w:color w:val="auto"/>
        </w:rPr>
      </w:pPr>
    </w:p>
    <w:p>
      <w:pPr>
        <w:ind w:left="340" w:right="7080" w:hanging="251"/>
        <w:spacing w:after="0" w:line="400" w:lineRule="auto"/>
        <w:tabs>
          <w:tab w:leader="none" w:pos="277"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 ACCOUNTING PRONOUNCEMENTS </w:t>
      </w:r>
      <w:r>
        <w:rPr>
          <w:rFonts w:ascii="Times New Roman" w:cs="Times New Roman" w:eastAsia="Times New Roman" w:hAnsi="Times New Roman"/>
          <w:sz w:val="17"/>
          <w:szCs w:val="17"/>
          <w:b w:val="1"/>
          <w:bCs w:val="1"/>
          <w:i w:val="1"/>
          <w:iCs w:val="1"/>
          <w:color w:val="auto"/>
        </w:rPr>
        <w:t>Recently Issued Accounting Pronouncements</w:t>
      </w: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Accounting Standards Update ("ASU") No. 2023-07, "Segment Reporting (Topic 280): Improvements to Reportable Segment Disclosures", which expands reportable segment disclosure requirements, primarily through enhanced disclosures about significant segment expenses. The amendments will require public entities to disclose significant segment expenses that are regularly provided to the chief operating decision maker and included within segment profit and loss. The amendments will be effective for the Company's annual reporting periods beginning in fiscal year 2025 and for interim periods beginning in fiscal year 2026, with early adoption permitted, and will be applied retrospectively to all prior periods presented in the financial statements. The Company is currently evaluating the ASU to determine its impact on the Company's disclosures.</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includes amendments that further enhance income tax disclosures, primarily through standardization and disaggregation of rate reconciliation categories and income taxes paid by jurisdiction. The amendments are effective for the Company's annual periods beginning in fiscal year 2026, with early adoption permitted, and should be applied either prospectively or retrospectively. The Company is currently evaluating the ASU to determine its impact on the Company's disclosures.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which is intended to improve the disclosures about expenses and address requests from investors for more detailed information about the types of costs and expenses included in certain expense captions presented on the income statement. The amendments will be effective for the Company's annual reporting periods beginning in fiscal year 2028 and for interim periods beginning in fiscal year 2029, with early adoption permitted. The amendments may be applied retrospectively to all prior periods presented in the financial statements or prospectively upon adoption. The Company is currently evaluating the ASU to determine its impact on the Company's disclosures.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recognizes revenue primarily from sales of the products of its brands through our DTC business, which includes our retail stores and e-commerce sites, along with our wholesale business. The Company also generates revenue from royalties related to licensing its trademarks, as well as sales in ancillary business channels. In all cases, revenue is recognized upon the transfer of control of the promised products or services to the customer, which may be at a point in time or over time. Control is transferred when the customer obtains the ability to direct the use of and obtain substantially all of the remaining benefits from the products or services. The amount of revenue recognized is the amount of consideration to which the Company expects to be entitled, including estimation of sale terms that may create variability in the consideration. Revenue subject to variability is constrained to an amount which will not result in a significant reversal in future periods when the contingency that creates variability is resolved.</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elected a practical expedient not to disclose the remaining performance obligations that are unsatisfied as of the end of the period related to contracts with an original duration of one year or less or variable consideration related to sales-based royalty arrangements. There are no other contracts with transaction price allocated to remaining performance obligations other than future minimum royalties as discussed above, which are not material.</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practical expedients elected by the Company include (i) assuming no significant financing component exists for any contract with a duration of one year or less, (ii) accounting for shipping and handling as a fulfillment activity within SG&amp;A expense regardless of the timing of the shipment in relation to the transfer of control and (iii) excluding sales and value added tax from the transaction price.</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Direct-to-Consumer</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in its retail stores, including concession shop-in-shops, at the point-of-sale when the customer obtains physical possession of the products. Digital revenue from sales of products ordered through the Company's e-commerce sites is recognized upon delivery and receipt of the shipment by its customers and includes shipping and handling charges paid by customers. Retail and digital revenues are recorded net of estimated returns, which are estimated by developing an expected value based on historical experience. Payment is due at the point of sale.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Gift cards issued by the Company are recorded as a liability until redeemed by the customer, at which point revenue is recognized. The Company also uses historical information to estimate the amount of gift card balances that will never be redeemed and recognizes that amount as revenue over time in proportion to actual customer redemptions if the Company does not have a legal obligation to remit unredeemed gift cards to any jurisdiction as unclaimed property.</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of the Company's retail operations use sales incentive programs, such as customer loyalty programs and the issuance of coupons. Loyalty programs provide the customer a material right to acquire additional products and give rise to the Company having a separate performance obligation. Additionally, certain products sold by the Company include an assurance warranty that is not considered a separate performance obligation. These programs are immaterial individually and in the aggregate.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Wholesale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recognizes revenue within the wholesale channel at the time title passes and risk of loss is transferred to customers, which is generally at the point of shipment of products but may occur upon receipt of the shipment by the customer in certain cases. Payment is generally due 30 to 90 days after shipment. Wholesale revenue is recorded net of estimates for returns, discounts, end-of-season markdowns, cooperative advertising allowances and other consideration provided to the customer. Discounts are based on contract terms with the customer, while cooperative advertising allowances and other consideration may be based on contract terms or negotiated on a case-by-case basis. Returns and markdowns generally require approval from the Company and are estimated based on historical trends, current season results and inventory positions at the wholesale locations, current market and economic conditions as well as, in select cases, contractual terms. The Company's historical estimates of these variable amounts have not differed materially from actual results.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Licensing</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recognizes licensing revenue over time during the contract period in which licensees are granted access to the Company's trademarks. These arrangements require licensees to pay a sales-based royalty and may include a contractually guaranteed minimum royalty amount. Revenue for contractually guaranteed minimum royalty amounts is recognized ratably over the license year and any excess sales-based royalties are recognized as earned once the minimum royalty threshold is achieved. Payments from the customer are generally due quarterly in an amount based on the licensee's sales of goods bearing the licensed trademarks during the period, which may differ from the amount of revenue recorded during the period thereby generating a contract asset or liability. Contract assets and liabilities and contract costs related to the licensing arrangements are immaterial as the licensing business represents approximately 1% of total net sales in the nine months ended March 29, 2025.</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Disaggregated Net Sales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disaggregates the Company's net sales into geographies that depict how economic factors may impact the revenues and cash flows for the periods presented. Each geography presented includes net sales related to the Company's directly operated channels, global travel retail business and to wholesale customers, including distributors, in locations within the specified geographic area.</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Greater China</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Other Asia</w:t>
            </w:r>
            <w:r>
              <w:rPr>
                <w:rFonts w:ascii="Times New Roman" w:cs="Times New Roman" w:eastAsia="Times New Roman" w:hAnsi="Times New Roman"/>
                <w:sz w:val="23"/>
                <w:szCs w:val="23"/>
                <w:b w:val="1"/>
                <w:bCs w:val="1"/>
                <w:color w:val="auto"/>
                <w:w w:val="95"/>
                <w:vertAlign w:val="superscript"/>
              </w:rPr>
              <w:t>(2)</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(3)</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0"/>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auto"/>
            </w:tcBorders>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w w:val="99"/>
              </w:rPr>
              <w:t>Three Months Ended March 29, 2025</w:t>
            </w:r>
          </w:p>
        </w:tc>
        <w:tc>
          <w:tcPr>
            <w:tcW w:w="1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1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Coach</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738.0</w:t>
            </w:r>
          </w:p>
        </w:tc>
        <w:tc>
          <w:tcPr>
            <w:tcW w:w="1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1,293.5</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244.9</w:t>
            </w:r>
          </w:p>
        </w:tc>
      </w:tr>
      <w:tr>
        <w:trPr>
          <w:trHeight w:val="230"/>
        </w:trPr>
        <w:tc>
          <w:tcPr>
            <w:tcW w:w="20" w:type="dxa"/>
            <w:vAlign w:val="bottom"/>
          </w:tcPr>
          <w:p>
            <w:pPr>
              <w:spacing w:after="0"/>
              <w:rPr>
                <w:sz w:val="19"/>
                <w:szCs w:val="19"/>
                <w:color w:val="auto"/>
              </w:rPr>
            </w:pPr>
          </w:p>
        </w:tc>
        <w:tc>
          <w:tcPr>
            <w:tcW w:w="41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46.2</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160" w:type="dxa"/>
            <w:vAlign w:val="bottom"/>
            <w:tcBorders>
              <w:top w:val="single" w:sz="8" w:color="CCEEFF"/>
              <w:bottom w:val="single" w:sz="8" w:color="CCEEFF"/>
            </w:tcBorders>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720" w:type="dxa"/>
            <w:vAlign w:val="bottom"/>
            <w:tcBorders>
              <w:bottom w:val="single" w:sz="8" w:color="auto"/>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Three Months Ended March 30, 2024</w:t>
            </w:r>
          </w:p>
        </w:tc>
        <w:tc>
          <w:tcPr>
            <w:tcW w:w="1440" w:type="dxa"/>
            <w:vAlign w:val="bottom"/>
            <w:tcBorders>
              <w:bottom w:val="single" w:sz="8" w:color="CCEEFF"/>
            </w:tcBorders>
            <w:gridSpan w:val="3"/>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Coach</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1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w:t>
            </w: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 Spade</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r>
      <w:tr>
        <w:trPr>
          <w:trHeight w:val="230"/>
        </w:trPr>
        <w:tc>
          <w:tcPr>
            <w:tcW w:w="20" w:type="dxa"/>
            <w:vAlign w:val="bottom"/>
          </w:tcPr>
          <w:p>
            <w:pPr>
              <w:spacing w:after="0"/>
              <w:rPr>
                <w:sz w:val="19"/>
                <w:szCs w:val="19"/>
                <w:color w:val="auto"/>
              </w:rPr>
            </w:pPr>
          </w:p>
        </w:tc>
        <w:tc>
          <w:tcPr>
            <w:tcW w:w="4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Stuart Weitzman</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160" w:type="dxa"/>
            <w:vAlign w:val="bottom"/>
            <w:tcBorders>
              <w:top w:val="single" w:sz="8" w:color="CCEEFF"/>
              <w:bottom w:val="single" w:sz="8" w:color="CCEEFF"/>
            </w:tcBorders>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20" w:type="dxa"/>
            <w:vAlign w:val="bottom"/>
            <w:shd w:val="clear" w:color="auto" w:fill="CCEEFF"/>
          </w:tcPr>
          <w:p>
            <w:pPr>
              <w:spacing w:after="0"/>
              <w:rPr>
                <w:sz w:val="18"/>
                <w:szCs w:val="18"/>
                <w:color w:val="auto"/>
              </w:rPr>
            </w:pPr>
          </w:p>
        </w:tc>
        <w:tc>
          <w:tcPr>
            <w:tcW w:w="41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Nine Months Ended March 29, 2025</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7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Coach</w:t>
            </w:r>
          </w:p>
        </w:tc>
        <w:tc>
          <w:tcPr>
            <w:tcW w:w="1380" w:type="dxa"/>
            <w:vAlign w:val="bottom"/>
            <w:tcBorders>
              <w:top w:val="single" w:sz="8" w:color="CCEEFF"/>
            </w:tcBorders>
            <w:gridSpan w:val="2"/>
          </w:tcPr>
          <w:p>
            <w:pPr>
              <w:spacing w:after="0"/>
              <w:rPr>
                <w:sz w:val="19"/>
                <w:szCs w:val="19"/>
                <w:color w:val="auto"/>
              </w:rPr>
            </w:pPr>
          </w:p>
        </w:tc>
        <w:tc>
          <w:tcPr>
            <w:tcW w:w="400" w:type="dxa"/>
            <w:vAlign w:val="bottom"/>
            <w:tcBorders>
              <w:top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2,551.9</w:t>
            </w:r>
          </w:p>
        </w:tc>
        <w:tc>
          <w:tcPr>
            <w:tcW w:w="12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714.8</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591.0</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315.7</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4,173.4</w:t>
            </w: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944.5</w:t>
            </w:r>
          </w:p>
        </w:tc>
      </w:tr>
      <w:tr>
        <w:trPr>
          <w:trHeight w:val="230"/>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20" w:type="dxa"/>
            <w:vAlign w:val="bottom"/>
            <w:shd w:val="clear" w:color="auto" w:fill="CCEEFF"/>
          </w:tcPr>
          <w:p>
            <w:pPr>
              <w:spacing w:after="0"/>
              <w:rPr>
                <w:sz w:val="18"/>
                <w:szCs w:val="18"/>
                <w:color w:val="auto"/>
              </w:rPr>
            </w:pPr>
          </w:p>
        </w:tc>
        <w:tc>
          <w:tcPr>
            <w:tcW w:w="41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Nine Months Ended March 30, 2024</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Coach</w:t>
            </w:r>
          </w:p>
        </w:tc>
        <w:tc>
          <w:tcPr>
            <w:tcW w:w="1520" w:type="dxa"/>
            <w:vAlign w:val="bottom"/>
            <w:tcBorders>
              <w:top w:val="single" w:sz="8" w:color="CCEEFF"/>
            </w:tcBorders>
            <w:gridSpan w:val="4"/>
          </w:tcPr>
          <w:p>
            <w:pPr>
              <w:spacing w:after="0"/>
              <w:rPr>
                <w:sz w:val="19"/>
                <w:szCs w:val="19"/>
                <w:color w:val="auto"/>
              </w:rPr>
            </w:pPr>
          </w:p>
        </w:tc>
        <w:tc>
          <w:tcPr>
            <w:tcW w:w="400" w:type="dxa"/>
            <w:vAlign w:val="bottom"/>
            <w:tcBorders>
              <w:top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2,323.7</w:t>
            </w:r>
          </w:p>
        </w:tc>
        <w:tc>
          <w:tcPr>
            <w:tcW w:w="12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3,844.9</w:t>
            </w: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 Spade</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r>
      <w:tr>
        <w:trPr>
          <w:trHeight w:val="229"/>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Stuart Weitzman</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bl>
    <w:p>
      <w:pPr>
        <w:spacing w:after="0" w:line="141"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Greater China includes mainland China, Hong Kong SAR and Macao SAR, and Taiwan.</w:t>
      </w:r>
    </w:p>
    <w:p>
      <w:pPr>
        <w:spacing w:after="0" w:line="82" w:lineRule="exact"/>
        <w:rPr>
          <w:rFonts w:ascii="Times New Roman" w:cs="Times New Roman" w:eastAsia="Times New Roman" w:hAnsi="Times New Roman"/>
          <w:sz w:val="23"/>
          <w:szCs w:val="23"/>
          <w:color w:val="auto"/>
          <w:vertAlign w:val="superscript"/>
        </w:rPr>
      </w:pPr>
    </w:p>
    <w:p>
      <w:pPr>
        <w:ind w:left="320" w:hanging="312"/>
        <w:spacing w:after="0" w:line="219" w:lineRule="auto"/>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Asia includes Japan, Malaysia, Australia, South Korea, Singapore, and other countries primarily within Asia.</w:t>
      </w:r>
    </w:p>
    <w:p>
      <w:pPr>
        <w:spacing w:after="0" w:line="82" w:lineRule="exact"/>
        <w:rPr>
          <w:rFonts w:ascii="Times New Roman" w:cs="Times New Roman" w:eastAsia="Times New Roman" w:hAnsi="Times New Roman"/>
          <w:sz w:val="23"/>
          <w:szCs w:val="23"/>
          <w:color w:val="auto"/>
          <w:vertAlign w:val="superscript"/>
        </w:rPr>
      </w:pPr>
    </w:p>
    <w:p>
      <w:pPr>
        <w:ind w:left="320" w:hanging="312"/>
        <w:spacing w:after="0" w:line="219" w:lineRule="auto"/>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sales primarily represents sales in Europe, the Middle East and royalties earned from the Company's licensing partners.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Deferred revenue results from cash payments received or receivable from customers prior to the transfer of the promised goods or services, and is generally comprised of unredeemed gift cards, net of breakage which has been recognized. Additional deferred revenue may result from sales-based royalty payments received or receivable which exceed the revenue recognized during the contractual period. The balance of such amounts as of March 29, 2025 and June 29, 2024 was $51.2 million and $45.5 million, respectively, which were primarily recorded within Accrued liabilities on the Company's Condensed Consolidated Balance Sheets and are generally expected to be recognized as revenue within a year. For the nine months ended March 29, 2025, net sales of $17.8 million were recognized from amounts recorded as deferred revenue as of June 29, 2024. For the nine months ended March 30, 2024, net sales of $25.3 million were recognized from amounts recorded as deferred revenue as of July 1, 2023.</w:t>
      </w:r>
    </w:p>
    <w:p>
      <w:pPr>
        <w:spacing w:after="0" w:line="185" w:lineRule="exact"/>
        <w:rPr>
          <w:sz w:val="20"/>
          <w:szCs w:val="20"/>
          <w:color w:val="auto"/>
        </w:rPr>
      </w:pPr>
    </w:p>
    <w:p>
      <w:pPr>
        <w:ind w:left="340" w:right="7820" w:hanging="251"/>
        <w:spacing w:after="0" w:line="400" w:lineRule="auto"/>
        <w:tabs>
          <w:tab w:leader="none" w:pos="277"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ACQUISITIONS AND DIVESTITURES </w:t>
      </w:r>
      <w:r>
        <w:rPr>
          <w:rFonts w:ascii="Times New Roman" w:cs="Times New Roman" w:eastAsia="Times New Roman" w:hAnsi="Times New Roman"/>
          <w:sz w:val="17"/>
          <w:szCs w:val="17"/>
          <w:b w:val="1"/>
          <w:bCs w:val="1"/>
          <w:i w:val="1"/>
          <w:iCs w:val="1"/>
          <w:color w:val="auto"/>
        </w:rPr>
        <w:t>Stuart Weitzman Business Divestiture</w:t>
      </w: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16, 2025, the Company entered into a sale and purchase agreement (the “Purchase Agreement”) with Caleres, Inc. (the “Purchaser”) pursuant to which the Company will sell the Stuart Weitzman Business (as defined below). The Purchaser will acquire certain assets and liabilities of the Company's global business of designing, manufacturing, promotion, marketing, production, distribution, sales and licensing of Stuart Weitzman branded products (the "Stuart Weitzman Business") for total cash consideration of $105.0 million (the "Purchase Price"). The Purchase Price will be subject to customary adjustments for cash, indebtedness, net working capital and transaction expenses. The transaction is expected to close in the summer of 2025, subject to customary closing conditions (the "Stuart Weitzman Business Divestiture").</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third quarter of fiscal 2025, the Company determined that certain assets and liabilities related to the Company's Stuart Weitzman Business met the criteria for classification as held for sale. The planned sale of the Stuart Weitzman Business does not represent a strategic shift that will have a major effect on the Company's operations and financial results and therefore does not qualify for presentation as a discontinued operation. The assets and liabilities of the Stuart Weitzman Business are recorded at the lower of their carrying values or estimated fair values, less any costs to sell. In connection with the held for sale classification, the Company recognized a loss of $12.7 million during the quarter ended March 29, 2025 on the remeasurement of the business held for sale.</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March 29, 2025, the Company incurred total pre-tax charges related to the Stuart Weitzman Business Divestiture of $18.6 million primarily due to the loss on remeasurement of the business held for sale, store impairment, professional fees and share-based compensation expense which were recorded in selling, general and administrative ("SG&amp;A") expenses mainly within the Corporate segment on the Company's Condensed Consolidated Statements of Operations.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29, 2025, the assets and liabilities relating to the Stuart Weitzman Business are presented in the Condensed Consolidated Balance Sheet as Assets held for sale and Liabilities held for sale. Long-lived assets classified as held for sale are not depreciated or amortized.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major classes of assets and liabilities that were classified as assets and liabilities held for sale, respectively,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March 29, 2025</w:t>
            </w:r>
          </w:p>
        </w:tc>
      </w:tr>
      <w:tr>
        <w:trPr>
          <w:trHeight w:val="190"/>
        </w:trPr>
        <w:tc>
          <w:tcPr>
            <w:tcW w:w="218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held for sale:</w:t>
            </w:r>
          </w:p>
        </w:tc>
        <w:tc>
          <w:tcPr>
            <w:tcW w:w="2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30"/>
        </w:trPr>
        <w:tc>
          <w:tcPr>
            <w:tcW w:w="9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9"/>
        </w:trPr>
        <w:tc>
          <w:tcPr>
            <w:tcW w:w="9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9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30"/>
        </w:trPr>
        <w:tc>
          <w:tcPr>
            <w:tcW w:w="9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9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9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9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9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9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9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904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Allowance for reduction of assets held for sale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8"/>
        </w:trPr>
        <w:tc>
          <w:tcPr>
            <w:tcW w:w="90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 held for sale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173.7</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1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29"/>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held for sale:</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9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9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9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9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9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90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held for sale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2180" w:type="dxa"/>
            <w:vAlign w:val="bottom"/>
            <w:tcBorders>
              <w:bottom w:val="single" w:sz="8" w:color="auto"/>
            </w:tcBorders>
          </w:tcPr>
          <w:p>
            <w:pPr>
              <w:spacing w:after="0"/>
              <w:rPr>
                <w:sz w:val="22"/>
                <w:szCs w:val="22"/>
                <w:color w:val="auto"/>
              </w:rPr>
            </w:pPr>
          </w:p>
        </w:tc>
        <w:tc>
          <w:tcPr>
            <w:tcW w:w="6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r>
    </w:tbl>
    <w:p>
      <w:pPr>
        <w:spacing w:after="0" w:line="171" w:lineRule="exact"/>
        <w:rPr>
          <w:sz w:val="20"/>
          <w:szCs w:val="20"/>
          <w:color w:val="auto"/>
        </w:rPr>
      </w:pPr>
    </w:p>
    <w:p>
      <w:pPr>
        <w:jc w:val="both"/>
        <w:ind w:left="340" w:hanging="332"/>
        <w:spacing w:after="0" w:line="235"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connection with the held for sale classification, the Company recognized a $12.7 million loss on the remeasurement of the assets and liabilities of the Stuart Weitzman Business. This impairment was charged to a contra asset account, Allowance for reduction of assets held for sale, within Total assets held for sale.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Capri Holdings Limited Acquisition</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August 10, 2023, the Company entered into an Agreement and Plan of Merger (the "Merger Agreement") by and among the Company, Sunrise Merger Sub, Inc., a direct wholly owned subsidiary of Tapestry ("Merger Sub"), and Capri Holdings Limited ("Capri" and, together with us and Merger Sub, the "Parties"), pursuant to which, among other things, Merger Sub would merge with and into Capri (the "Merger") with Capri surviving the Merger and continuing as a wholly owned subsidiary of the Company ("the Capri Acquisition"). On April 22, 2024, the FTC filed a complaint against the Company and Capri in the United States District Court for the Southern District of New York seeking to enjoin the consummation of the Capri Acquisition, and on October 24, 2024, the Court issued its Opinion and Order granting the FTC's request for a preliminary injunction of the Merger, pending an administrative trial on the merits which was scheduled to begin on December 9, 2024. On October 28, 2024, the Company and Capri filed a Notice of Appeal with respect to the October 24, 2024 Opinion and Order. On November 6, 2024, the United States Court of Appeals for the Second Circuit entered an order setting an expedited briefing schedule for the appeal of the decision of the United States District Court of the Southern District of New York granting the preliminary injunction of the merger. On November 13, 2024, the Parties entered into a Termination Agreement (the “Termination Agreement”), pursuant to which the Parties agreed to terminate the Merger Agreement, including all schedules and exhibits thereto and all ancillary agreements contemplated thereby or entered pursuant thereto (the “Termination Date”), effective immediately. Pursuant to the Termination Agreement, the Company agreed to reimburse Capri for its expenses in an amount equal to $45.1 million in cash on November 14, 2024. The Parties also agreed to release each other from claims, demands, damages, actions, causes of action and liability relating to or arising out of the Merger Agreement and the transactions contemplated therein or thereby. Following termination of the Merger Agreement, the Parties and the FTC filed a stipulation withdrawing the appeal to the United States Court of Appeals for the Second Circuit on November 19, 2024 and the Second Circuit dismissed the appeal on November 20, 2024. The Parties and the FTC also filed a Joint Motion to dismiss the complaint in the administrative trial on November 15, 2024 and the FTC dismissed the complaint on December 4, 2024.</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finance the Capri Acquisition, on November 27, 2023, the Company issued $4.50 billion of senior unsecured notes (the "Capri Acquisition USD Senior Notes") and €1.50 billion of Euro-denominated senior unsecured notes (the "Capri Acquisition EUR Senior Notes" and, together with the Capri Acquisition USD Senior Notes, the "Capri Acquisition Senior Notes") which, together with the $1.40 billion of delayed draw unsecured term loan facilities (the "Capri Acquisition Term Loan Facilities") executed on August 30, 2023, complete the expected financing for the Capri Acquisition. On November 25, 2024, due to the termination of the Merger Agreement and pursuant to the terms of the indenture governing the Capri Acquisition Senior Notes, as supplemented, the Company redeemed all outstanding Capri Acquisition Senior Notes at a redemption price of 101% of the aggregate principal amount of such Capri Acquisition Senior Notes, plus accrued and unpaid interest to, but excluding, the date of redemption (such redemption, the “Special Mandatory Redemption”). In addition, the Capri Acquisition Term Loan Facilities were terminated concurrently with the execution of the Termination Agreement on November 13, 2024. Refer to Note 11, "Debt," for further information on our debt instruments related to the Capri Acquisition.</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29, 2025, the Company incurred $268.4 million in pre-tax expenses primarily related to Loss on extinguishment of debt as a result of the redemption of the Capri Acquisition Senior Notes, financing-related expenses, expense reimbursement payment made to Capri and professional fees.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30, 2024, the Company incurred $67.9 million in pre-tax expenses primarily related to professional fees and financing-related expenses. During the nine months ended March 30, 2024, the Company incurred $166.6 million in pre-tax expenses primarily related to financing-related expenses and professional fees.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right="6980" w:hanging="332"/>
        <w:spacing w:after="0" w:line="377" w:lineRule="auto"/>
        <w:tabs>
          <w:tab w:leader="none" w:pos="19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b w:val="1"/>
          <w:bCs w:val="1"/>
          <w:i w:val="1"/>
          <w:iCs w:val="1"/>
          <w:color w:val="auto"/>
        </w:rPr>
        <w:t>Goodwill</w:t>
      </w:r>
    </w:p>
    <w:p>
      <w:pPr>
        <w:spacing w:after="0" w:line="1"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 in the carrying amount of the Company’s goodwill by segment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Coach</w:t>
            </w: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0"/>
        </w:trPr>
        <w:tc>
          <w:tcPr>
            <w:tcW w:w="3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60" w:type="dxa"/>
            <w:vAlign w:val="bottom"/>
            <w:gridSpan w:val="5"/>
          </w:tcPr>
          <w:p>
            <w:pPr>
              <w:ind w:left="1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29, 2024</w:t>
            </w: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1,204.1</w:t>
            </w:r>
          </w:p>
        </w:tc>
      </w:tr>
      <w:tr>
        <w:trPr>
          <w:trHeight w:val="230"/>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exchange impact</w:t>
            </w: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r>
      <w:tr>
        <w:trPr>
          <w:trHeight w:val="24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29, 2025</w:t>
            </w:r>
          </w:p>
        </w:tc>
        <w:tc>
          <w:tcPr>
            <w:tcW w:w="118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1,215.8</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Intangible assets consist of the following:</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June 29, 2024</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1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Gross</w:t>
            </w:r>
          </w:p>
        </w:tc>
        <w:tc>
          <w:tcPr>
            <w:tcW w:w="18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Accum.</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15"/>
                <w:szCs w:val="15"/>
                <w:color w:val="auto"/>
              </w:rPr>
            </w:pPr>
          </w:p>
        </w:tc>
        <w:tc>
          <w:tcPr>
            <w:tcW w:w="1000" w:type="dxa"/>
            <w:vAlign w:val="bottom"/>
            <w:gridSpan w:val="2"/>
          </w:tcPr>
          <w:p>
            <w:pPr>
              <w:jc w:val="right"/>
              <w:ind w:right="34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Amort.</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Customer relationships</w:t>
            </w:r>
            <w:r>
              <w:rPr>
                <w:rFonts w:ascii="Times New Roman" w:cs="Times New Roman" w:eastAsia="Times New Roman" w:hAnsi="Times New Roman"/>
                <w:sz w:val="23"/>
                <w:szCs w:val="23"/>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1,309.8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1,309.8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0" w:type="dxa"/>
            <w:vAlign w:val="bottom"/>
          </w:tcPr>
          <w:p>
            <w:pPr>
              <w:spacing w:after="0"/>
              <w:rPr>
                <w:sz w:val="1"/>
                <w:szCs w:val="1"/>
                <w:color w:val="auto"/>
              </w:rPr>
            </w:pPr>
          </w:p>
        </w:tc>
      </w:tr>
      <w:tr>
        <w:trPr>
          <w:trHeight w:val="223"/>
        </w:trPr>
        <w:tc>
          <w:tcPr>
            <w:tcW w:w="4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1,355.4</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1,331.1</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hanging="332"/>
        <w:spacing w:after="0" w:line="235" w:lineRule="auto"/>
        <w:tabs>
          <w:tab w:leader="none" w:pos="336"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March 29, 2025, $18.2 million related to the net carrying value of customer relationships of the Stuart Weitzman Business were reclassified to Assets held for sale in the Company's Condensed Consolidated Balance Sheet. Refer to Note 5, "Acquisitions and Divestitures," for further information.</w:t>
      </w:r>
    </w:p>
    <w:p>
      <w:pPr>
        <w:spacing w:after="0" w:line="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for the Company’s definite-lived intangible assets for the three and nine months ended March 29, 2025 was $1.1 million and $4.4 million, respectively. Amortization expense for the Company’s definite-lived intangible assets for the three and nine months ended March 30, 2024 was $1.7 million and $4.9 million, respectively</w:t>
      </w:r>
      <w:r>
        <w:rPr>
          <w:rFonts w:ascii="Arial" w:cs="Arial" w:eastAsia="Arial" w:hAnsi="Arial"/>
          <w:sz w:val="16"/>
          <w:szCs w:val="16"/>
          <w:color w:val="auto"/>
        </w:rPr>
        <w:t>.</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29, 2025, the expected amortization expense for intangible assets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Amortization Expense</w:t>
            </w:r>
          </w:p>
        </w:tc>
      </w:tr>
      <w:tr>
        <w:trPr>
          <w:trHeight w:val="190"/>
        </w:trPr>
        <w:tc>
          <w:tcPr>
            <w:tcW w:w="8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00" w:type="dxa"/>
            <w:vAlign w:val="bottom"/>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2025</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Fiscal 2030 and thereafter</w:t>
            </w:r>
          </w:p>
        </w:tc>
        <w:tc>
          <w:tcPr>
            <w:tcW w:w="3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expected amortization expense above reflects remaining useful life of approximately 7.3 years for customer relationships.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right="8660" w:hanging="251"/>
        <w:spacing w:after="0" w:line="400" w:lineRule="auto"/>
        <w:tabs>
          <w:tab w:leader="none" w:pos="277"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Share Repurchase Program</w:t>
      </w: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13, 2024, the Board of Directors of the Company (the "Board") authorized the Company to repurchase up to $2.00 billion of outstanding shares of its common stock (the "2025 Share Repurchase Program"). Under the 2025 Share Repurchase Program, the Company may repurchase shares on the open market, in privately negotiated transactions or in other transactions, including accelerated share repurchase programs. On November 21, 2024, the Company entered into accelerated share repurchase agreements (the “ASR Agreements”) with Bank of America, N.A. and Morgan Stanley &amp; Co. LLC (the “Dealers”) to repurchase an aggregate of up to $2.00 billion of the Company’s shares of common stock. The $2.00 billion authorized for purchases under the 2025 Share Repurchase Program is supplemental to the $800.0 million remaining in authorized purchases under the share repurchase program authorized by the Board in May 2022 (the "2022 Share Repurchase Program").</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ASR Agreements, the Company paid $2.00 billion to the Dealers and received an initial delivery of 28,363,766 shares of the Company's common stock on November 26, 2024. The total number of shares purchased by the Company pursuant to the ASR Agreements will be based on the volume-weighted average price ("VWAP") of the Company's common stock on specified dates during the term of each of the ASR Agreements, less a discount, and subject to adjustments pursuant to the terms and conditions of the ASR Agreements. The difference between the initially delivered shares and the total number of shares purchased will be settled in four tranches, no later than the first quarter of fiscal 2026. The ASR Agreements are accounted for as a share purchase transaction and forward stock purchase agreement indexed to our common stock. Repurchased shares of common stock will become authorized but unissued shares.</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March 29, 2025, the Company owed 43,094 shares of common stock related to the settlement of one tranche as a result of the increase in the VWAP of the Company's common stock, which was cash settled for $3.0 million.</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29, 2025 the Company had $800.0 million of additional shares available to be repurchased as authorized under the 2022 Share Repurchase Program and no remaining availability to repurchase shares under the 2025 Share Repurchase Program.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stockholders' equity is presented below:</w:t>
      </w:r>
    </w:p>
    <w:p>
      <w:pPr>
        <w:spacing w:after="0" w:line="131" w:lineRule="exact"/>
        <w:rPr>
          <w:sz w:val="20"/>
          <w:szCs w:val="20"/>
          <w:color w:val="auto"/>
        </w:rPr>
      </w:pPr>
    </w:p>
    <w:tbl>
      <w:tblPr>
        <w:tblLayout w:type="fixed"/>
        <w:tblInd w:w="3020" w:type="dxa"/>
        <w:tblCellMar>
          <w:top w:w="0" w:type="dxa"/>
          <w:left w:w="0" w:type="dxa"/>
          <w:bottom w:w="0" w:type="dxa"/>
          <w:right w:w="0" w:type="dxa"/>
        </w:tblCellMar>
      </w:tblPr>
      <w:tr>
        <w:trPr>
          <w:trHeight w:val="207"/>
        </w:trPr>
        <w:tc>
          <w:tcPr>
            <w:tcW w:w="9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20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0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940" w:type="dxa"/>
            <w:vAlign w:val="bottom"/>
            <w:vMerge w:val="continue"/>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320" w:type="dxa"/>
            <w:vAlign w:val="bottom"/>
            <w:vMerge w:val="continue"/>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Earnings /</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4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rPr>
              <w:t>Common</w:t>
            </w:r>
          </w:p>
        </w:tc>
        <w:tc>
          <w:tcPr>
            <w:tcW w:w="1200" w:type="dxa"/>
            <w:vAlign w:val="bottom"/>
            <w:vMerge w:val="continue"/>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7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00" w:type="dxa"/>
            <w:vAlign w:val="bottom"/>
          </w:tcPr>
          <w:p>
            <w:pPr>
              <w:jc w:val="center"/>
              <w:ind w:left="150"/>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3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1826895</wp:posOffset>
            </wp:positionH>
            <wp:positionV relativeFrom="paragraph">
              <wp:posOffset>-5080</wp:posOffset>
            </wp:positionV>
            <wp:extent cx="52978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97805" cy="8255"/>
                    </a:xfrm>
                    <a:prstGeom prst="rect">
                      <a:avLst/>
                    </a:prstGeom>
                    <a:noFill/>
                  </pic:spPr>
                </pic:pic>
              </a:graphicData>
            </a:graphic>
          </wp:anchor>
        </w:drawing>
      </w:r>
    </w:p>
    <w:p>
      <w:pPr>
        <w:ind w:left="606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p>
      <w:pPr>
        <w:sectPr>
          <w:pgSz w:w="11900" w:h="16838" w:orient="portrait"/>
          <w:cols w:equalWidth="0" w:num="1">
            <w:col w:w="11220"/>
          </w:cols>
          <w:pgMar w:left="340" w:top="117" w:right="339" w:bottom="1440" w:gutter="0" w:footer="0" w:header="0"/>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Balance at July 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227.4</w:t>
            </w:r>
          </w:p>
        </w:tc>
        <w:tc>
          <w:tcPr>
            <w:tcW w:w="12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 (loss)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Shares issued, pursuant to stock-based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0"/>
              <w:spacing w:after="0" w:line="145" w:lineRule="exact"/>
              <w:rPr>
                <w:sz w:val="20"/>
                <w:szCs w:val="20"/>
                <w:color w:val="auto"/>
              </w:rPr>
            </w:pPr>
            <w:r>
              <w:rPr>
                <w:rFonts w:ascii="Times New Roman" w:cs="Times New Roman" w:eastAsia="Times New Roman" w:hAnsi="Times New Roman"/>
                <w:sz w:val="14"/>
                <w:szCs w:val="14"/>
                <w:color w:val="auto"/>
              </w:rPr>
              <w:t>compensation arrangements, net of shares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withheld for taxes</w:t>
            </w: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Dividends declared ($0.35 per share)</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229.2</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8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Net income (loss)</w:t>
            </w:r>
          </w:p>
        </w:tc>
        <w:tc>
          <w:tcPr>
            <w:tcW w:w="1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880" w:type="dxa"/>
            <w:vAlign w:val="bottom"/>
            <w:vMerge w:val="continue"/>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Shares issued, pursuant to stock-based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0"/>
              <w:spacing w:after="0" w:line="145" w:lineRule="exact"/>
              <w:rPr>
                <w:sz w:val="20"/>
                <w:szCs w:val="20"/>
                <w:color w:val="auto"/>
              </w:rPr>
            </w:pPr>
            <w:r>
              <w:rPr>
                <w:rFonts w:ascii="Times New Roman" w:cs="Times New Roman" w:eastAsia="Times New Roman" w:hAnsi="Times New Roman"/>
                <w:sz w:val="14"/>
                <w:szCs w:val="14"/>
                <w:color w:val="auto"/>
              </w:rPr>
              <w:t>compensation arrangements, net of shares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withheld for taxes</w:t>
            </w: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Dividends declared ($0.35 per share)</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30, 2023</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8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Net income (loss)</w:t>
            </w:r>
          </w:p>
        </w:tc>
        <w:tc>
          <w:tcPr>
            <w:tcW w:w="1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880" w:type="dxa"/>
            <w:vAlign w:val="bottom"/>
            <w:vMerge w:val="continue"/>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Shares issued, pursuant to stock-based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0"/>
              <w:spacing w:after="0" w:line="145" w:lineRule="exact"/>
              <w:rPr>
                <w:sz w:val="20"/>
                <w:szCs w:val="20"/>
                <w:color w:val="auto"/>
              </w:rPr>
            </w:pPr>
            <w:r>
              <w:rPr>
                <w:rFonts w:ascii="Times New Roman" w:cs="Times New Roman" w:eastAsia="Times New Roman" w:hAnsi="Times New Roman"/>
                <w:sz w:val="14"/>
                <w:szCs w:val="14"/>
                <w:color w:val="auto"/>
              </w:rPr>
              <w:t>compensation arrangements, net of shares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withheld for taxes</w:t>
            </w: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Dividends declared ($0.35 per share)</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at March 30, 2024</w:t>
            </w: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880" w:type="dxa"/>
            <w:vAlign w:val="bottom"/>
            <w:vMerge w:val="continue"/>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120" w:type="dxa"/>
            <w:vAlign w:val="bottom"/>
          </w:tcPr>
          <w:p>
            <w:pPr>
              <w:spacing w:after="0"/>
              <w:rPr>
                <w:sz w:val="16"/>
                <w:szCs w:val="16"/>
                <w:color w:val="auto"/>
              </w:rPr>
            </w:pP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-3085465</wp:posOffset>
            </wp:positionV>
            <wp:extent cx="713232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-2828290</wp:posOffset>
            </wp:positionV>
            <wp:extent cx="713232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-2390775</wp:posOffset>
            </wp:positionV>
            <wp:extent cx="713232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-1833880</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-1396365</wp:posOffset>
            </wp:positionV>
            <wp:extent cx="713232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-839470</wp:posOffset>
            </wp:positionV>
            <wp:extent cx="713232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-402590</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-145415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-1139190</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-2133600</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9"/>
              </w:rPr>
              <w:t>3,682.2</w:t>
            </w: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(1,216.8)</w:t>
            </w:r>
          </w:p>
        </w:tc>
        <w:tc>
          <w:tcPr>
            <w:tcW w:w="120" w:type="dxa"/>
            <w:vAlign w:val="bottom"/>
          </w:tcPr>
          <w:p>
            <w:pPr>
              <w:spacing w:after="0"/>
              <w:rPr>
                <w:sz w:val="16"/>
                <w:szCs w:val="16"/>
                <w:color w:val="auto"/>
              </w:rPr>
            </w:pPr>
          </w:p>
        </w:tc>
        <w:tc>
          <w:tcPr>
            <w:tcW w:w="6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2,277.8</w:t>
            </w:r>
          </w:p>
        </w:tc>
        <w:tc>
          <w:tcPr>
            <w:tcW w:w="0" w:type="dxa"/>
            <w:vAlign w:val="bottom"/>
          </w:tcPr>
          <w:p>
            <w:pPr>
              <w:spacing w:after="0"/>
              <w:rPr>
                <w:sz w:val="1"/>
                <w:szCs w:val="1"/>
                <w:color w:val="auto"/>
              </w:rPr>
            </w:pPr>
          </w:p>
        </w:tc>
      </w:tr>
      <w:tr>
        <w:trPr>
          <w:trHeight w:val="203"/>
        </w:trPr>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0" w:type="dxa"/>
            <w:vAlign w:val="bottom"/>
          </w:tcPr>
          <w:p>
            <w:pPr>
              <w:spacing w:after="0"/>
              <w:rPr>
                <w:sz w:val="1"/>
                <w:szCs w:val="1"/>
                <w:color w:val="auto"/>
              </w:rPr>
            </w:pPr>
          </w:p>
        </w:tc>
      </w:tr>
      <w:tr>
        <w:trPr>
          <w:trHeight w:val="203"/>
        </w:trPr>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486"/>
        </w:trPr>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(31.2)</w:t>
            </w:r>
          </w:p>
        </w:tc>
        <w:tc>
          <w:tcPr>
            <w:tcW w:w="48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03"/>
        </w:trPr>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19.7</w:t>
            </w:r>
          </w:p>
        </w:tc>
        <w:tc>
          <w:tcPr>
            <w:tcW w:w="4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203"/>
        </w:trPr>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23"/>
        </w:trPr>
        <w:tc>
          <w:tcPr>
            <w:tcW w:w="6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9"/>
              </w:rPr>
              <w:t>3,670.7</w:t>
            </w: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00" w:type="dxa"/>
            <w:vAlign w:val="bottom"/>
            <w:vMerge w:val="continue"/>
          </w:tcPr>
          <w:p>
            <w:pPr>
              <w:spacing w:after="0"/>
              <w:rPr>
                <w:sz w:val="16"/>
                <w:szCs w:val="16"/>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(1,102.0)</w:t>
            </w:r>
          </w:p>
        </w:tc>
        <w:tc>
          <w:tcPr>
            <w:tcW w:w="120" w:type="dxa"/>
            <w:vAlign w:val="bottom"/>
          </w:tcPr>
          <w:p>
            <w:pPr>
              <w:spacing w:after="0"/>
              <w:rPr>
                <w:sz w:val="16"/>
                <w:szCs w:val="16"/>
                <w:color w:val="auto"/>
              </w:rPr>
            </w:pPr>
          </w:p>
        </w:tc>
        <w:tc>
          <w:tcPr>
            <w:tcW w:w="6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2,415.7</w:t>
            </w:r>
          </w:p>
        </w:tc>
        <w:tc>
          <w:tcPr>
            <w:tcW w:w="0" w:type="dxa"/>
            <w:vAlign w:val="bottom"/>
          </w:tcPr>
          <w:p>
            <w:pPr>
              <w:spacing w:after="0"/>
              <w:rPr>
                <w:sz w:val="1"/>
                <w:szCs w:val="1"/>
                <w:color w:val="auto"/>
              </w:rPr>
            </w:pPr>
          </w:p>
        </w:tc>
      </w:tr>
      <w:tr>
        <w:trPr>
          <w:trHeight w:val="27"/>
        </w:trPr>
        <w:tc>
          <w:tcPr>
            <w:tcW w:w="6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00" w:type="dxa"/>
            <w:vAlign w:val="bottom"/>
            <w:vMerge w:val="continue"/>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322.3</w:t>
            </w: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322.3</w:t>
            </w:r>
          </w:p>
        </w:tc>
        <w:tc>
          <w:tcPr>
            <w:tcW w:w="0" w:type="dxa"/>
            <w:vAlign w:val="bottom"/>
          </w:tcPr>
          <w:p>
            <w:pPr>
              <w:spacing w:after="0"/>
              <w:rPr>
                <w:sz w:val="1"/>
                <w:szCs w:val="1"/>
                <w:color w:val="auto"/>
              </w:rPr>
            </w:pPr>
          </w:p>
        </w:tc>
      </w:tr>
      <w:tr>
        <w:trPr>
          <w:trHeight w:val="193"/>
        </w:trPr>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486"/>
        </w:trPr>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w:t>
            </w:r>
          </w:p>
        </w:tc>
        <w:tc>
          <w:tcPr>
            <w:tcW w:w="48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3"/>
        </w:trPr>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22.5</w:t>
            </w:r>
          </w:p>
        </w:tc>
        <w:tc>
          <w:tcPr>
            <w:tcW w:w="4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03"/>
        </w:trPr>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23"/>
        </w:trPr>
        <w:tc>
          <w:tcPr>
            <w:tcW w:w="6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9"/>
              </w:rPr>
              <w:t>3,695.8</w:t>
            </w: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00" w:type="dxa"/>
            <w:vAlign w:val="bottom"/>
            <w:vMerge w:val="continue"/>
          </w:tcPr>
          <w:p>
            <w:pPr>
              <w:spacing w:after="0"/>
              <w:rPr>
                <w:sz w:val="16"/>
                <w:szCs w:val="16"/>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(859.9)</w:t>
            </w:r>
          </w:p>
        </w:tc>
        <w:tc>
          <w:tcPr>
            <w:tcW w:w="120" w:type="dxa"/>
            <w:vAlign w:val="bottom"/>
          </w:tcPr>
          <w:p>
            <w:pPr>
              <w:spacing w:after="0"/>
              <w:rPr>
                <w:sz w:val="16"/>
                <w:szCs w:val="16"/>
                <w:color w:val="auto"/>
              </w:rPr>
            </w:pPr>
          </w:p>
        </w:tc>
        <w:tc>
          <w:tcPr>
            <w:tcW w:w="6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2,659.8</w:t>
            </w:r>
          </w:p>
        </w:tc>
        <w:tc>
          <w:tcPr>
            <w:tcW w:w="0" w:type="dxa"/>
            <w:vAlign w:val="bottom"/>
          </w:tcPr>
          <w:p>
            <w:pPr>
              <w:spacing w:after="0"/>
              <w:rPr>
                <w:sz w:val="1"/>
                <w:szCs w:val="1"/>
                <w:color w:val="auto"/>
              </w:rPr>
            </w:pPr>
          </w:p>
        </w:tc>
      </w:tr>
      <w:tr>
        <w:trPr>
          <w:trHeight w:val="27"/>
        </w:trPr>
        <w:tc>
          <w:tcPr>
            <w:tcW w:w="6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00" w:type="dxa"/>
            <w:vAlign w:val="bottom"/>
            <w:vMerge w:val="continue"/>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0" w:type="dxa"/>
            <w:vAlign w:val="bottom"/>
          </w:tcPr>
          <w:p>
            <w:pPr>
              <w:spacing w:after="0"/>
              <w:rPr>
                <w:sz w:val="1"/>
                <w:szCs w:val="1"/>
                <w:color w:val="auto"/>
              </w:rPr>
            </w:pPr>
          </w:p>
        </w:tc>
      </w:tr>
      <w:tr>
        <w:trPr>
          <w:trHeight w:val="193"/>
        </w:trPr>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486"/>
        </w:trPr>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11.6</w:t>
            </w:r>
          </w:p>
        </w:tc>
        <w:tc>
          <w:tcPr>
            <w:tcW w:w="48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03"/>
        </w:trPr>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23.6</w:t>
            </w:r>
          </w:p>
        </w:tc>
        <w:tc>
          <w:tcPr>
            <w:tcW w:w="4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203"/>
        </w:trPr>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0" w:type="dxa"/>
            <w:vAlign w:val="bottom"/>
          </w:tcPr>
          <w:p>
            <w:pPr>
              <w:spacing w:after="0"/>
              <w:rPr>
                <w:sz w:val="1"/>
                <w:szCs w:val="1"/>
                <w:color w:val="auto"/>
              </w:rPr>
            </w:pPr>
          </w:p>
        </w:tc>
      </w:tr>
      <w:tr>
        <w:trPr>
          <w:trHeight w:val="23"/>
        </w:trPr>
        <w:tc>
          <w:tcPr>
            <w:tcW w:w="6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9"/>
              </w:rPr>
              <w:t>3,731.0</w:t>
            </w: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0" w:type="dxa"/>
            <w:vAlign w:val="bottom"/>
            <w:vMerge w:val="continue"/>
          </w:tcPr>
          <w:p>
            <w:pPr>
              <w:spacing w:after="0"/>
              <w:rPr>
                <w:sz w:val="16"/>
                <w:szCs w:val="16"/>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(801.0)</w:t>
            </w:r>
          </w:p>
        </w:tc>
        <w:tc>
          <w:tcPr>
            <w:tcW w:w="120" w:type="dxa"/>
            <w:vAlign w:val="bottom"/>
          </w:tcPr>
          <w:p>
            <w:pPr>
              <w:spacing w:after="0"/>
              <w:rPr>
                <w:sz w:val="16"/>
                <w:szCs w:val="16"/>
                <w:color w:val="auto"/>
              </w:rPr>
            </w:pPr>
          </w:p>
        </w:tc>
        <w:tc>
          <w:tcPr>
            <w:tcW w:w="6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-8255</wp:posOffset>
            </wp:positionV>
            <wp:extent cx="7797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9780" cy="8890"/>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-976630</wp:posOffset>
            </wp:positionV>
            <wp:extent cx="7797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-1971040</wp:posOffset>
            </wp:positionV>
            <wp:extent cx="7797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640"/>
            <w:col w:w="5280"/>
          </w:cols>
          <w:pgMar w:left="34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4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7"/>
                <w:szCs w:val="17"/>
                <w:color w:val="auto"/>
              </w:rPr>
            </w:pPr>
          </w:p>
        </w:tc>
        <w:tc>
          <w:tcPr>
            <w:tcW w:w="1280" w:type="dxa"/>
            <w:vAlign w:val="bottom"/>
            <w:vMerge w:val="restart"/>
          </w:tcPr>
          <w:p>
            <w:pPr>
              <w:jc w:val="center"/>
              <w:ind w:right="66"/>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Earnings /</w:t>
            </w:r>
          </w:p>
        </w:tc>
        <w:tc>
          <w:tcPr>
            <w:tcW w:w="140" w:type="dxa"/>
            <w:vAlign w:val="bottom"/>
          </w:tcPr>
          <w:p>
            <w:pPr>
              <w:spacing w:after="0"/>
              <w:rPr>
                <w:sz w:val="15"/>
                <w:szCs w:val="15"/>
                <w:color w:val="auto"/>
              </w:rPr>
            </w:pPr>
          </w:p>
        </w:tc>
        <w:tc>
          <w:tcPr>
            <w:tcW w:w="15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12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158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6"/>
                <w:szCs w:val="16"/>
                <w:color w:val="auto"/>
              </w:rPr>
            </w:pPr>
          </w:p>
        </w:tc>
        <w:tc>
          <w:tcPr>
            <w:tcW w:w="1280" w:type="dxa"/>
            <w:vAlign w:val="bottom"/>
          </w:tcPr>
          <w:p>
            <w:pPr>
              <w:jc w:val="center"/>
              <w:ind w:right="66"/>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19"/>
                <w:szCs w:val="19"/>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29,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3,762.7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2,896.9</w:t>
            </w:r>
          </w:p>
        </w:tc>
        <w:tc>
          <w:tcPr>
            <w:tcW w:w="0" w:type="dxa"/>
            <w:vAlign w:val="bottom"/>
          </w:tcPr>
          <w:p>
            <w:pPr>
              <w:spacing w:after="0"/>
              <w:rPr>
                <w:sz w:val="1"/>
                <w:szCs w:val="1"/>
                <w:color w:val="auto"/>
              </w:rPr>
            </w:pPr>
          </w:p>
        </w:tc>
      </w:tr>
      <w:tr>
        <w:trPr>
          <w:trHeight w:val="196"/>
        </w:trPr>
        <w:tc>
          <w:tcPr>
            <w:tcW w:w="29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186.6</w:t>
            </w: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(46.5)</w:t>
            </w:r>
          </w:p>
        </w:tc>
        <w:tc>
          <w:tcPr>
            <w:tcW w:w="0" w:type="dxa"/>
            <w:vAlign w:val="bottom"/>
          </w:tcPr>
          <w:p>
            <w:pPr>
              <w:spacing w:after="0"/>
              <w:rPr>
                <w:sz w:val="1"/>
                <w:szCs w:val="1"/>
                <w:color w:val="auto"/>
              </w:rPr>
            </w:pPr>
          </w:p>
        </w:tc>
      </w:tr>
      <w:tr>
        <w:trPr>
          <w:trHeight w:val="137"/>
        </w:trPr>
        <w:tc>
          <w:tcPr>
            <w:tcW w:w="2900" w:type="dxa"/>
            <w:vAlign w:val="bottom"/>
          </w:tcPr>
          <w:p>
            <w:pPr>
              <w:ind w:left="220"/>
              <w:spacing w:after="0" w:line="137" w:lineRule="exact"/>
              <w:rPr>
                <w:sz w:val="20"/>
                <w:szCs w:val="20"/>
                <w:color w:val="auto"/>
              </w:rPr>
            </w:pPr>
            <w:r>
              <w:rPr>
                <w:rFonts w:ascii="Times New Roman" w:cs="Times New Roman" w:eastAsia="Times New Roman" w:hAnsi="Times New Roman"/>
                <w:sz w:val="14"/>
                <w:szCs w:val="14"/>
                <w:b w:val="1"/>
                <w:bCs w:val="1"/>
                <w:color w:val="auto"/>
              </w:rPr>
              <w:t>Shares issued, pursuant to stock-based</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00" w:type="dxa"/>
            <w:vAlign w:val="bottom"/>
          </w:tcPr>
          <w:p>
            <w:pPr>
              <w:ind w:left="2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arrangements, net of shares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7.2</w:t>
            </w:r>
          </w:p>
        </w:tc>
        <w:tc>
          <w:tcPr>
            <w:tcW w:w="0" w:type="dxa"/>
            <w:vAlign w:val="bottom"/>
          </w:tcPr>
          <w:p>
            <w:pPr>
              <w:spacing w:after="0"/>
              <w:rPr>
                <w:sz w:val="1"/>
                <w:szCs w:val="1"/>
                <w:color w:val="auto"/>
              </w:rPr>
            </w:pPr>
          </w:p>
        </w:tc>
      </w:tr>
      <w:tr>
        <w:trPr>
          <w:trHeight w:val="196"/>
        </w:trPr>
        <w:tc>
          <w:tcPr>
            <w:tcW w:w="29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withheld for taxes</w:t>
            </w: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Share-based compensation</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19.1</w:t>
            </w:r>
          </w:p>
        </w:tc>
        <w:tc>
          <w:tcPr>
            <w:tcW w:w="0" w:type="dxa"/>
            <w:vAlign w:val="bottom"/>
          </w:tcPr>
          <w:p>
            <w:pPr>
              <w:spacing w:after="0"/>
              <w:rPr>
                <w:sz w:val="1"/>
                <w:szCs w:val="1"/>
                <w:color w:val="auto"/>
              </w:rPr>
            </w:pPr>
          </w:p>
        </w:tc>
      </w:tr>
      <w:tr>
        <w:trPr>
          <w:trHeight w:val="196"/>
        </w:trPr>
        <w:tc>
          <w:tcPr>
            <w:tcW w:w="29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Dividends declared ($0.35 per share)</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(81.4)</w:t>
            </w:r>
          </w:p>
        </w:tc>
        <w:tc>
          <w:tcPr>
            <w:tcW w:w="0" w:type="dxa"/>
            <w:vAlign w:val="bottom"/>
          </w:tcPr>
          <w:p>
            <w:pPr>
              <w:spacing w:after="0"/>
              <w:rPr>
                <w:sz w:val="1"/>
                <w:szCs w:val="1"/>
                <w:color w:val="auto"/>
              </w:rPr>
            </w:pPr>
          </w:p>
        </w:tc>
      </w:tr>
      <w:tr>
        <w:trPr>
          <w:trHeight w:val="227"/>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28,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3,789.0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2,981.9</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1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900" w:type="dxa"/>
            <w:vAlign w:val="bottom"/>
            <w:tcBorders>
              <w:top w:val="single" w:sz="8" w:color="CCEEFF"/>
            </w:tcBorders>
            <w:vMerge w:val="continue"/>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310.4</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310.4</w:t>
            </w: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35.8</w:t>
            </w:r>
          </w:p>
        </w:tc>
        <w:tc>
          <w:tcPr>
            <w:tcW w:w="0" w:type="dxa"/>
            <w:vAlign w:val="bottom"/>
          </w:tcPr>
          <w:p>
            <w:pPr>
              <w:spacing w:after="0"/>
              <w:rPr>
                <w:sz w:val="1"/>
                <w:szCs w:val="1"/>
                <w:color w:val="auto"/>
              </w:rPr>
            </w:pPr>
          </w:p>
        </w:tc>
      </w:tr>
      <w:tr>
        <w:trPr>
          <w:trHeight w:val="137"/>
        </w:trPr>
        <w:tc>
          <w:tcPr>
            <w:tcW w:w="2900" w:type="dxa"/>
            <w:vAlign w:val="bottom"/>
          </w:tcPr>
          <w:p>
            <w:pPr>
              <w:ind w:left="220"/>
              <w:spacing w:after="0" w:line="137" w:lineRule="exact"/>
              <w:rPr>
                <w:sz w:val="20"/>
                <w:szCs w:val="20"/>
                <w:color w:val="auto"/>
              </w:rPr>
            </w:pPr>
            <w:r>
              <w:rPr>
                <w:rFonts w:ascii="Times New Roman" w:cs="Times New Roman" w:eastAsia="Times New Roman" w:hAnsi="Times New Roman"/>
                <w:sz w:val="14"/>
                <w:szCs w:val="14"/>
                <w:b w:val="1"/>
                <w:bCs w:val="1"/>
                <w:color w:val="auto"/>
              </w:rPr>
              <w:t>Shares issued, pursuant to stock-based</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00" w:type="dxa"/>
            <w:vAlign w:val="bottom"/>
          </w:tcPr>
          <w:p>
            <w:pPr>
              <w:ind w:left="2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arrangements, net of shares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72.0</w:t>
            </w:r>
          </w:p>
        </w:tc>
        <w:tc>
          <w:tcPr>
            <w:tcW w:w="0" w:type="dxa"/>
            <w:vAlign w:val="bottom"/>
          </w:tcPr>
          <w:p>
            <w:pPr>
              <w:spacing w:after="0"/>
              <w:rPr>
                <w:sz w:val="1"/>
                <w:szCs w:val="1"/>
                <w:color w:val="auto"/>
              </w:rPr>
            </w:pPr>
          </w:p>
        </w:tc>
      </w:tr>
      <w:tr>
        <w:trPr>
          <w:trHeight w:val="196"/>
        </w:trPr>
        <w:tc>
          <w:tcPr>
            <w:tcW w:w="29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withheld for taxes</w:t>
            </w: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Share-based compensation</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21.8</w:t>
            </w:r>
          </w:p>
        </w:tc>
        <w:tc>
          <w:tcPr>
            <w:tcW w:w="0" w:type="dxa"/>
            <w:vAlign w:val="bottom"/>
          </w:tcPr>
          <w:p>
            <w:pPr>
              <w:spacing w:after="0"/>
              <w:rPr>
                <w:sz w:val="1"/>
                <w:szCs w:val="1"/>
                <w:color w:val="auto"/>
              </w:rPr>
            </w:pPr>
          </w:p>
        </w:tc>
      </w:tr>
      <w:tr>
        <w:trPr>
          <w:trHeight w:val="137"/>
        </w:trPr>
        <w:tc>
          <w:tcPr>
            <w:tcW w:w="2900" w:type="dxa"/>
            <w:vAlign w:val="bottom"/>
          </w:tcPr>
          <w:p>
            <w:pPr>
              <w:ind w:left="220"/>
              <w:spacing w:after="0" w:line="137" w:lineRule="exact"/>
              <w:rPr>
                <w:sz w:val="20"/>
                <w:szCs w:val="20"/>
                <w:color w:val="auto"/>
              </w:rPr>
            </w:pPr>
            <w:r>
              <w:rPr>
                <w:rFonts w:ascii="Times New Roman" w:cs="Times New Roman" w:eastAsia="Times New Roman" w:hAnsi="Times New Roman"/>
                <w:sz w:val="14"/>
                <w:szCs w:val="14"/>
                <w:b w:val="1"/>
                <w:bCs w:val="1"/>
                <w:color w:val="auto"/>
              </w:rPr>
              <w:t>Repurchase of common stock, including</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(0.2)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(1,612.8)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(2,013.0)</w:t>
            </w:r>
          </w:p>
        </w:tc>
        <w:tc>
          <w:tcPr>
            <w:tcW w:w="0" w:type="dxa"/>
            <w:vAlign w:val="bottom"/>
          </w:tcPr>
          <w:p>
            <w:pPr>
              <w:spacing w:after="0"/>
              <w:rPr>
                <w:sz w:val="1"/>
                <w:szCs w:val="1"/>
                <w:color w:val="auto"/>
              </w:rPr>
            </w:pPr>
          </w:p>
        </w:tc>
      </w:tr>
      <w:tr>
        <w:trPr>
          <w:trHeight w:val="195"/>
        </w:trPr>
        <w:tc>
          <w:tcPr>
            <w:tcW w:w="29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excise tax</w:t>
            </w: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Dividends declared ($0.35 per share)</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(72.4)</w:t>
            </w:r>
          </w:p>
        </w:tc>
        <w:tc>
          <w:tcPr>
            <w:tcW w:w="0" w:type="dxa"/>
            <w:vAlign w:val="bottom"/>
          </w:tcPr>
          <w:p>
            <w:pPr>
              <w:spacing w:after="0"/>
              <w:rPr>
                <w:sz w:val="1"/>
                <w:szCs w:val="1"/>
                <w:color w:val="auto"/>
              </w:rPr>
            </w:pPr>
          </w:p>
        </w:tc>
      </w:tr>
      <w:tr>
        <w:trPr>
          <w:trHeight w:val="202"/>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28, 2024</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206.9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3,482.8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(1,991.8)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(156.6)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1,336.5</w:t>
            </w:r>
          </w:p>
        </w:tc>
        <w:tc>
          <w:tcPr>
            <w:tcW w:w="0" w:type="dxa"/>
            <w:vAlign w:val="bottom"/>
          </w:tcPr>
          <w:p>
            <w:pPr>
              <w:spacing w:after="0"/>
              <w:rPr>
                <w:sz w:val="1"/>
                <w:szCs w:val="1"/>
                <w:color w:val="auto"/>
              </w:rPr>
            </w:pP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203.3</w:t>
            </w:r>
          </w:p>
        </w:tc>
        <w:tc>
          <w:tcPr>
            <w:tcW w:w="0" w:type="dxa"/>
            <w:vAlign w:val="bottom"/>
          </w:tcPr>
          <w:p>
            <w:pPr>
              <w:spacing w:after="0"/>
              <w:rPr>
                <w:sz w:val="1"/>
                <w:szCs w:val="1"/>
                <w:color w:val="auto"/>
              </w:rPr>
            </w:pPr>
          </w:p>
        </w:tc>
      </w:tr>
      <w:tr>
        <w:trPr>
          <w:trHeight w:val="196"/>
        </w:trPr>
        <w:tc>
          <w:tcPr>
            <w:tcW w:w="29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(23.6)</w:t>
            </w:r>
          </w:p>
        </w:tc>
        <w:tc>
          <w:tcPr>
            <w:tcW w:w="0" w:type="dxa"/>
            <w:vAlign w:val="bottom"/>
          </w:tcPr>
          <w:p>
            <w:pPr>
              <w:spacing w:after="0"/>
              <w:rPr>
                <w:sz w:val="1"/>
                <w:szCs w:val="1"/>
                <w:color w:val="auto"/>
              </w:rPr>
            </w:pPr>
          </w:p>
        </w:tc>
      </w:tr>
      <w:tr>
        <w:trPr>
          <w:trHeight w:val="143"/>
        </w:trPr>
        <w:tc>
          <w:tcPr>
            <w:tcW w:w="2900" w:type="dxa"/>
            <w:vAlign w:val="bottom"/>
            <w:shd w:val="clear" w:color="auto" w:fill="CCEEFF"/>
          </w:tcPr>
          <w:p>
            <w:pPr>
              <w:ind w:left="220"/>
              <w:spacing w:after="0" w:line="143" w:lineRule="exact"/>
              <w:rPr>
                <w:sz w:val="20"/>
                <w:szCs w:val="20"/>
                <w:color w:val="auto"/>
              </w:rPr>
            </w:pPr>
            <w:r>
              <w:rPr>
                <w:rFonts w:ascii="Times New Roman" w:cs="Times New Roman" w:eastAsia="Times New Roman" w:hAnsi="Times New Roman"/>
                <w:sz w:val="14"/>
                <w:szCs w:val="14"/>
                <w:b w:val="1"/>
                <w:bCs w:val="1"/>
                <w:color w:val="auto"/>
              </w:rPr>
              <w:t>Shares issued, pursuant to stock-based</w:t>
            </w: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900" w:type="dxa"/>
            <w:vAlign w:val="bottom"/>
            <w:shd w:val="clear" w:color="auto" w:fill="CCEEFF"/>
          </w:tcPr>
          <w:p>
            <w:pPr>
              <w:ind w:left="2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arrangements, net of shares</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1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27.4</w:t>
            </w:r>
          </w:p>
        </w:tc>
        <w:tc>
          <w:tcPr>
            <w:tcW w:w="0" w:type="dxa"/>
            <w:vAlign w:val="bottom"/>
          </w:tcPr>
          <w:p>
            <w:pPr>
              <w:spacing w:after="0"/>
              <w:rPr>
                <w:sz w:val="1"/>
                <w:szCs w:val="1"/>
                <w:color w:val="auto"/>
              </w:rPr>
            </w:pPr>
          </w:p>
        </w:tc>
      </w:tr>
      <w:tr>
        <w:trPr>
          <w:trHeight w:val="203"/>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withheld for taxes</w:t>
            </w: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Share-based compensation</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25.2</w:t>
            </w:r>
          </w:p>
        </w:tc>
        <w:tc>
          <w:tcPr>
            <w:tcW w:w="0" w:type="dxa"/>
            <w:vAlign w:val="bottom"/>
          </w:tcPr>
          <w:p>
            <w:pPr>
              <w:spacing w:after="0"/>
              <w:rPr>
                <w:sz w:val="1"/>
                <w:szCs w:val="1"/>
                <w:color w:val="auto"/>
              </w:rPr>
            </w:pPr>
          </w:p>
        </w:tc>
      </w:tr>
      <w:tr>
        <w:trPr>
          <w:trHeight w:val="143"/>
        </w:trPr>
        <w:tc>
          <w:tcPr>
            <w:tcW w:w="2900" w:type="dxa"/>
            <w:vAlign w:val="bottom"/>
            <w:shd w:val="clear" w:color="auto" w:fill="CCEEFF"/>
          </w:tcPr>
          <w:p>
            <w:pPr>
              <w:ind w:left="220"/>
              <w:spacing w:after="0" w:line="143" w:lineRule="exact"/>
              <w:rPr>
                <w:sz w:val="20"/>
                <w:szCs w:val="20"/>
                <w:color w:val="auto"/>
              </w:rPr>
            </w:pPr>
            <w:r>
              <w:rPr>
                <w:rFonts w:ascii="Times New Roman" w:cs="Times New Roman" w:eastAsia="Times New Roman" w:hAnsi="Times New Roman"/>
                <w:sz w:val="14"/>
                <w:szCs w:val="14"/>
                <w:b w:val="1"/>
                <w:bCs w:val="1"/>
                <w:color w:val="auto"/>
              </w:rPr>
              <w:t>Repurchase of common stock, including</w:t>
            </w: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0" w:type="dxa"/>
            <w:vAlign w:val="bottom"/>
          </w:tcPr>
          <w:p>
            <w:pPr>
              <w:spacing w:after="0"/>
              <w:rPr>
                <w:sz w:val="1"/>
                <w:szCs w:val="1"/>
                <w:color w:val="auto"/>
              </w:rPr>
            </w:pPr>
          </w:p>
        </w:tc>
      </w:tr>
      <w:tr>
        <w:trPr>
          <w:trHeight w:val="200"/>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excise tax</w:t>
            </w:r>
          </w:p>
        </w:tc>
        <w:tc>
          <w:tcPr>
            <w:tcW w:w="11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Dividends declared ($0.35 per share)</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(72.7)</w:t>
            </w:r>
          </w:p>
        </w:tc>
        <w:tc>
          <w:tcPr>
            <w:tcW w:w="0" w:type="dxa"/>
            <w:vAlign w:val="bottom"/>
          </w:tcPr>
          <w:p>
            <w:pPr>
              <w:spacing w:after="0"/>
              <w:rPr>
                <w:sz w:val="1"/>
                <w:szCs w:val="1"/>
                <w:color w:val="auto"/>
              </w:rPr>
            </w:pPr>
          </w:p>
        </w:tc>
      </w:tr>
      <w:tr>
        <w:trPr>
          <w:trHeight w:val="227"/>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29, 2025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3,585.4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(1,913.5)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1,493.8</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("AOCI"), as of the dates indicated,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54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8"/>
                <w:szCs w:val="18"/>
                <w:b w:val="1"/>
                <w:bCs w:val="1"/>
                <w:color w:val="auto"/>
              </w:rPr>
              <w:t>(Losses) on Cash</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15"/>
                <w:szCs w:val="15"/>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Flow</w:t>
            </w:r>
          </w:p>
        </w:tc>
        <w:tc>
          <w:tcPr>
            <w:tcW w:w="160" w:type="dxa"/>
            <w:vAlign w:val="bottom"/>
          </w:tcPr>
          <w:p>
            <w:pPr>
              <w:spacing w:after="0"/>
              <w:rPr>
                <w:sz w:val="16"/>
                <w:szCs w:val="16"/>
                <w:color w:val="auto"/>
              </w:rPr>
            </w:pPr>
          </w:p>
        </w:tc>
        <w:tc>
          <w:tcPr>
            <w:tcW w:w="13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7"/>
              </w:rPr>
              <w:t>on Available-</w:t>
            </w: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Hedging</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for-Sale</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20" w:type="dxa"/>
            <w:vAlign w:val="bottom"/>
          </w:tcPr>
          <w:p>
            <w:pPr>
              <w:spacing w:after="0"/>
              <w:rPr>
                <w:sz w:val="15"/>
                <w:szCs w:val="15"/>
                <w:color w:val="auto"/>
              </w:rPr>
            </w:pPr>
          </w:p>
        </w:tc>
        <w:tc>
          <w:tcPr>
            <w:tcW w:w="8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80"/>
              <w:spacing w:after="0" w:line="243" w:lineRule="exact"/>
              <w:rPr>
                <w:sz w:val="20"/>
                <w:szCs w:val="20"/>
                <w:color w:val="auto"/>
              </w:rPr>
            </w:pPr>
            <w:r>
              <w:rPr>
                <w:rFonts w:ascii="Times New Roman" w:cs="Times New Roman" w:eastAsia="Times New Roman" w:hAnsi="Times New Roman"/>
                <w:sz w:val="18"/>
                <w:szCs w:val="18"/>
                <w:b w:val="1"/>
                <w:bCs w:val="1"/>
                <w:color w:val="auto"/>
                <w:w w:val="95"/>
              </w:rPr>
              <w:t>Derivatives</w:t>
            </w:r>
            <w:r>
              <w:rPr>
                <w:rFonts w:ascii="Times New Roman" w:cs="Times New Roman" w:eastAsia="Times New Roman" w:hAnsi="Times New Roman"/>
                <w:sz w:val="23"/>
                <w:szCs w:val="23"/>
                <w:b w:val="1"/>
                <w:bCs w:val="1"/>
                <w:color w:val="auto"/>
                <w:w w:val="95"/>
                <w:vertAlign w:val="superscript"/>
              </w:rPr>
              <w:t>(1)</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line="243" w:lineRule="exact"/>
              <w:rPr>
                <w:sz w:val="20"/>
                <w:szCs w:val="20"/>
                <w:color w:val="auto"/>
              </w:rPr>
            </w:pPr>
            <w:r>
              <w:rPr>
                <w:rFonts w:ascii="Times New Roman" w:cs="Times New Roman" w:eastAsia="Times New Roman" w:hAnsi="Times New Roman"/>
                <w:sz w:val="18"/>
                <w:szCs w:val="18"/>
                <w:b w:val="1"/>
                <w:bCs w:val="1"/>
                <w:color w:val="auto"/>
                <w:w w:val="95"/>
              </w:rPr>
              <w:t>Adjustment</w:t>
            </w:r>
            <w:r>
              <w:rPr>
                <w:rFonts w:ascii="Times New Roman" w:cs="Times New Roman" w:eastAsia="Times New Roman" w:hAnsi="Times New Roman"/>
                <w:sz w:val="23"/>
                <w:szCs w:val="23"/>
                <w:b w:val="1"/>
                <w:bCs w:val="1"/>
                <w:color w:val="auto"/>
                <w:w w:val="95"/>
                <w:vertAlign w:val="superscript"/>
              </w:rPr>
              <w:t>(2)</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July 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229"/>
        </w:trPr>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176"/>
        </w:trPr>
        <w:tc>
          <w:tcPr>
            <w:tcW w:w="5560" w:type="dxa"/>
            <w:vAlign w:val="bottom"/>
            <w:gridSpan w:val="2"/>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Less: amounts reclassified from accumulated other comprehensive</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to earnings</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29,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w:t>
            </w:r>
          </w:p>
        </w:tc>
        <w:tc>
          <w:tcPr>
            <w:tcW w:w="0" w:type="dxa"/>
            <w:vAlign w:val="bottom"/>
          </w:tcPr>
          <w:p>
            <w:pPr>
              <w:spacing w:after="0"/>
              <w:rPr>
                <w:sz w:val="1"/>
                <w:szCs w:val="1"/>
                <w:color w:val="auto"/>
              </w:rPr>
            </w:pPr>
          </w:p>
        </w:tc>
      </w:tr>
      <w:tr>
        <w:trPr>
          <w:trHeight w:val="230"/>
        </w:trPr>
        <w:tc>
          <w:tcPr>
            <w:tcW w:w="55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0" w:type="dxa"/>
            <w:vAlign w:val="bottom"/>
          </w:tcPr>
          <w:p>
            <w:pPr>
              <w:spacing w:after="0"/>
              <w:rPr>
                <w:sz w:val="1"/>
                <w:szCs w:val="1"/>
                <w:color w:val="auto"/>
              </w:rPr>
            </w:pPr>
          </w:p>
        </w:tc>
      </w:tr>
      <w:tr>
        <w:trPr>
          <w:trHeight w:val="175"/>
        </w:trPr>
        <w:tc>
          <w:tcPr>
            <w:tcW w:w="5560" w:type="dxa"/>
            <w:vAlign w:val="bottom"/>
            <w:gridSpan w:val="2"/>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b w:val="1"/>
                <w:bCs w:val="1"/>
                <w:color w:val="auto"/>
              </w:rPr>
              <w:t>Less: amounts reclassified from accumulated other comprehensive</w:t>
            </w:r>
          </w:p>
        </w:tc>
        <w:tc>
          <w:tcPr>
            <w:tcW w:w="1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w:t>
            </w:r>
          </w:p>
        </w:tc>
        <w:tc>
          <w:tcPr>
            <w:tcW w:w="0" w:type="dxa"/>
            <w:vAlign w:val="bottom"/>
          </w:tcPr>
          <w:p>
            <w:pPr>
              <w:spacing w:after="0"/>
              <w:rPr>
                <w:sz w:val="1"/>
                <w:szCs w:val="1"/>
                <w:color w:val="auto"/>
              </w:rPr>
            </w:pPr>
          </w:p>
        </w:tc>
      </w:tr>
      <w:tr>
        <w:trPr>
          <w:trHeight w:val="243"/>
        </w:trPr>
        <w:tc>
          <w:tcPr>
            <w:tcW w:w="5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income to earnings</w:t>
            </w: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29,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(180.2)</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340" w:hanging="332"/>
        <w:spacing w:after="0" w:line="235" w:lineRule="auto"/>
        <w:tabs>
          <w:tab w:leader="none" w:pos="296"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ending balances of AOCI related to cash flow hedges are net of tax of $(0.5) million and $(2.3) million as of March 29, 2025 and March 30, 2024, respectively. The amounts reclassified from AOCI are net of tax of $(1.6) million and $0.5 million as of March 29, 2025 and March 30, 2024, respectively.</w:t>
      </w:r>
    </w:p>
    <w:p>
      <w:pPr>
        <w:spacing w:after="0" w:line="91" w:lineRule="exact"/>
        <w:rPr>
          <w:rFonts w:ascii="Times New Roman" w:cs="Times New Roman" w:eastAsia="Times New Roman" w:hAnsi="Times New Roman"/>
          <w:sz w:val="23"/>
          <w:szCs w:val="23"/>
          <w:color w:val="auto"/>
          <w:vertAlign w:val="superscript"/>
        </w:rPr>
      </w:pPr>
    </w:p>
    <w:p>
      <w:pPr>
        <w:jc w:val="both"/>
        <w:ind w:left="340" w:right="20" w:hanging="332"/>
        <w:spacing w:after="0" w:line="235" w:lineRule="auto"/>
        <w:tabs>
          <w:tab w:leader="none" w:pos="39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ending balances of AOCI related to the fair values of instruments designated as hedges of the Company's net investment in certain foreign operations as included in foreign currency translation adjustments are a loss of $14.5 million, net of tax of $(1.5) million, and a loss of $11.5 million, net of tax of $1.3 million, as of March 29, 2025 and March 30, 2024,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 INSTRUMENTS AND HEDGING ACTIVITIES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majority of the Company’s purchases of finished goods are denominated in U.S. dollars, which limits the Company’s exposure to the transactional effects of foreign currency exchange rate fluctuations. However, the Company is exposed to foreign currency exchange risk related to its sale of U.S. dollar inventory to foreign operating subsidiaries in local currency, as well as risk related to various cross-currency intercompany loans and payables, and translation risk. The Company is also exposed to foreign currency risk related to changes in the U.S. dollar value of its net investment in foreign subsidiaries. The Company uses derivative financial instruments to manage these risks. These derivative transactions are in accordance with the Company’s risk management policies. The Company does not enter into derivative transactions for speculative or trading purposes.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all derivative contracts at fair value on the Condensed Consolidated Balance Sheet. The fair values of foreign currency derivatives are based on the forward curves of the specific indices upon which settlement is based and include an adjustment for the counterparty's or Company’s credit risk. Judgment is required of management in developing estimates of fair value. The use of different market assumptions or methodologies could affect the estimated fair value.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cash flow derivative instruments that qualify for hedge accounting, the changes in the fair value of these instruments are recognized as a component of AOCI until the hedged item is recognized in earnings. For derivative instruments that are designated as a net investment hedge, the changes in the fair value of the instruments are recognized as a component of AOCI and, upon discontinuation of the hedge, remain in AOCI until the net investment is sold or liquidated.</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derivative instrument entered into by the Company that qualifies for hedge accounting is expected to be highly effective at reducing the risk associated with the exposure being hedged. For each derivative that is designated as a hedge,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Company documents the related risk management objective and strategy, including identification of the hedging instrument, the hedged item and the risk exposure, as well as how hedge effectiveness will be assessed over the term of the instrument. The extent to which a hedging instrument has been and is expected to remain highly effective in achieving offsetting changes in fair value or cash flows is assessed and documented by the Company on at least a quarterly basis.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it is determined that a derivative instrument has not been highly effective and will continue not to be highly effective in hedging the designated exposure, hedge accounting is discontinued and further gains (losses) are recognized in earnings within foreign currency gains (losses) or interest income (expense). Upon discontinuance of hedge accounting, the cumulative change in fair value of cash flow derivatives previously recorded in AOCI is recognized in earnings when the related hedged item affects earnings, consistent with the original hedging strategy, unless the forecasted transaction is no longer probable of occurring, in which case the accumulated amount is immediately recognized in earnings within foreign currency gains (losses) or interest income (expense).</w:t>
      </w:r>
    </w:p>
    <w:p>
      <w:pPr>
        <w:spacing w:after="0" w:line="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foreign currency derivative instruments which are not designated as hedges, the changes in fair value of the instruments are recorded through earnings. These changes generally offset the revaluation of certain underlying assets and liabilities.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use of derivative instruments, the Company may be exposed to the risk that the counterparties to such contracts will fail to meet their contractual obligations. To mitigate this counterparty credit risk, the Company has a policy of only entering into contracts with carefully selected financial institutions based upon an evaluation of their credit ratings, among other factors.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values of the Company’s derivative instruments are recorded on its Condensed Consolidated Balance Sheet on a gross basis. For cash flow reporting purposes, the Company classifies proceeds received or amounts paid upon the settlement of a derivative instrument in the same manner as the related item being hedged, primarily within cash from operating activities.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Hedging Portfolio</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enters into forward currency contracts primarily to reduce its risks related to exchange rate fluctuations on foreign currency denominated inventory transactions, as well as various cross-currency intercompany loans and payables. This primarily includes exposure to exchange rate fluctuations in the Japanese Yen, the Chinese Renminbi and the Canadian Dollar. To the extent its derivative contracts designated as cash flow hedges are highly effective in offsetting changes in the value of the hedged items, the related gains (losses) are initially deferred in AOCI and subsequently recognized in the Condensed Consolidated Statements of Operations as part of the cost of the inventory purchases being hedged within Cost of sales, when the related inventory is sold to a third-party. Current maturity dates range from April 2025 to December 2026. Forward foreign currency exchange contracts which are not designated as hedges of intercompany and other contractual obligations are recognized within Other expense (income) on the Company's Condensed Consolidated Statement of Operations. The maturity date of most instruments held as of March 29, 2025 range from May 2025 to June 2025, and such contracts are typically renewed upon maturity if the related balance has not been settled.</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also enters into cross-currency swaps to reduce its risks related to exchange rate fluctuations on net investments in foreign subsidiaries, including our net investment in Euro-denominated subsidiaries, Japanese Yen-denominated subsidiaries and Chinese Renminbi subsidiaries against future volatility in the exchange rates between the United States dollar and their local currencies. The related gains (losses) are deferred in AOCI until the net investment is sold or liquidated, and current maturity dates range from November 2027 to March 2032.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related to the Company's derivative instruments recorded on the Company's Condensed Consolidated Balance Sheets as of March 29, 2025 and June 29, 2024: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Notional Value</w:t>
            </w:r>
          </w:p>
        </w:tc>
        <w:tc>
          <w:tcPr>
            <w:tcW w:w="100" w:type="dxa"/>
            <w:vAlign w:val="bottom"/>
          </w:tcPr>
          <w:p>
            <w:pPr>
              <w:spacing w:after="0"/>
              <w:rPr>
                <w:sz w:val="20"/>
                <w:szCs w:val="20"/>
                <w:color w:val="auto"/>
              </w:rPr>
            </w:pPr>
          </w:p>
        </w:tc>
        <w:tc>
          <w:tcPr>
            <w:tcW w:w="2620" w:type="dxa"/>
            <w:vAlign w:val="bottom"/>
            <w:gridSpan w:val="4"/>
          </w:tcPr>
          <w:p>
            <w:pPr>
              <w:ind w:left="116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w w:val="99"/>
              </w:rPr>
              <w:t>Derivative Liabilities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ind w:right="11"/>
              <w:spacing w:after="0" w:line="184" w:lineRule="exact"/>
              <w:rPr>
                <w:sz w:val="20"/>
                <w:szCs w:val="20"/>
                <w:color w:val="auto"/>
              </w:rPr>
            </w:pPr>
            <w:r>
              <w:rPr>
                <w:rFonts w:ascii="Times New Roman" w:cs="Times New Roman" w:eastAsia="Times New Roman" w:hAnsi="Times New Roman"/>
                <w:sz w:val="18"/>
                <w:szCs w:val="18"/>
                <w:color w:val="auto"/>
                <w:w w:val="98"/>
              </w:rPr>
              <w:t>Consolidated</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ind w:right="11"/>
              <w:spacing w:after="0" w:line="184" w:lineRule="exact"/>
              <w:rPr>
                <w:sz w:val="20"/>
                <w:szCs w:val="20"/>
                <w:color w:val="auto"/>
              </w:rPr>
            </w:pPr>
            <w:r>
              <w:rPr>
                <w:rFonts w:ascii="Times New Roman" w:cs="Times New Roman" w:eastAsia="Times New Roman" w:hAnsi="Times New Roman"/>
                <w:sz w:val="18"/>
                <w:szCs w:val="18"/>
                <w:color w:val="auto"/>
                <w:w w:val="98"/>
              </w:rPr>
              <w:t>Consolidated</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6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June 29,</w:t>
            </w:r>
          </w:p>
        </w:tc>
        <w:tc>
          <w:tcPr>
            <w:tcW w:w="100" w:type="dxa"/>
            <w:vAlign w:val="bottom"/>
          </w:tcPr>
          <w:p>
            <w:pPr>
              <w:spacing w:after="0"/>
              <w:rPr>
                <w:sz w:val="19"/>
                <w:szCs w:val="19"/>
                <w:color w:val="auto"/>
              </w:rPr>
            </w:pPr>
          </w:p>
        </w:tc>
        <w:tc>
          <w:tcPr>
            <w:tcW w:w="14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Balance Sheet</w:t>
            </w:r>
          </w:p>
        </w:tc>
        <w:tc>
          <w:tcPr>
            <w:tcW w:w="12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0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6"/>
              </w:rPr>
              <w:t>June 29,</w:t>
            </w:r>
          </w:p>
        </w:tc>
        <w:tc>
          <w:tcPr>
            <w:tcW w:w="100" w:type="dxa"/>
            <w:vAlign w:val="bottom"/>
          </w:tcPr>
          <w:p>
            <w:pPr>
              <w:spacing w:after="0"/>
              <w:rPr>
                <w:sz w:val="19"/>
                <w:szCs w:val="19"/>
                <w:color w:val="auto"/>
              </w:rPr>
            </w:pPr>
          </w:p>
        </w:tc>
        <w:tc>
          <w:tcPr>
            <w:tcW w:w="14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Balance Sheet</w:t>
            </w:r>
          </w:p>
        </w:tc>
        <w:tc>
          <w:tcPr>
            <w:tcW w:w="120" w:type="dxa"/>
            <w:vAlign w:val="bottom"/>
          </w:tcPr>
          <w:p>
            <w:pPr>
              <w:spacing w:after="0"/>
              <w:rPr>
                <w:sz w:val="19"/>
                <w:szCs w:val="19"/>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4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June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8"/>
              </w:rPr>
              <w:t>Classification</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8"/>
              </w:rPr>
              <w:t>Classification</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hedge instruments: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FC - Inventory</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ind w:right="11"/>
              <w:spacing w:after="0" w:line="189" w:lineRule="exact"/>
              <w:rPr>
                <w:sz w:val="20"/>
                <w:szCs w:val="20"/>
                <w:color w:val="auto"/>
              </w:rPr>
            </w:pPr>
            <w:r>
              <w:rPr>
                <w:rFonts w:ascii="Times New Roman" w:cs="Times New Roman" w:eastAsia="Times New Roman" w:hAnsi="Times New Roman"/>
                <w:sz w:val="18"/>
                <w:szCs w:val="18"/>
                <w:color w:val="auto"/>
              </w:rPr>
              <w:t>Other Current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ind w:right="11"/>
              <w:spacing w:after="0" w:line="189" w:lineRule="exact"/>
              <w:rPr>
                <w:sz w:val="20"/>
                <w:szCs w:val="20"/>
                <w:color w:val="auto"/>
              </w:rPr>
            </w:pPr>
            <w:r>
              <w:rPr>
                <w:rFonts w:ascii="Times New Roman" w:cs="Times New Roman" w:eastAsia="Times New Roman" w:hAnsi="Times New Roman"/>
                <w:sz w:val="18"/>
                <w:szCs w:val="18"/>
                <w:color w:val="auto"/>
              </w:rPr>
              <w:t>Accrued</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r>
              <w:rPr>
                <w:rFonts w:ascii="Times New Roman" w:cs="Times New Roman" w:eastAsia="Times New Roman" w:hAnsi="Times New Roman"/>
                <w:sz w:val="23"/>
                <w:szCs w:val="23"/>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671.7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00" w:type="dxa"/>
            <w:vAlign w:val="bottom"/>
          </w:tcPr>
          <w:p>
            <w:pPr>
              <w:spacing w:after="0"/>
              <w:rPr>
                <w:sz w:val="23"/>
                <w:szCs w:val="23"/>
                <w:color w:val="auto"/>
              </w:rPr>
            </w:pPr>
          </w:p>
        </w:tc>
        <w:tc>
          <w:tcPr>
            <w:tcW w:w="14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3"/>
                <w:szCs w:val="23"/>
                <w:color w:val="auto"/>
              </w:rPr>
            </w:pPr>
          </w:p>
        </w:tc>
        <w:tc>
          <w:tcPr>
            <w:tcW w:w="14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rPr>
              <w:t>Other Current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ind w:right="11"/>
              <w:spacing w:after="0" w:line="198" w:lineRule="exact"/>
              <w:rPr>
                <w:sz w:val="20"/>
                <w:szCs w:val="20"/>
                <w:color w:val="auto"/>
              </w:rPr>
            </w:pPr>
            <w:r>
              <w:rPr>
                <w:rFonts w:ascii="Times New Roman" w:cs="Times New Roman" w:eastAsia="Times New Roman" w:hAnsi="Times New Roman"/>
                <w:sz w:val="18"/>
                <w:szCs w:val="18"/>
                <w:color w:val="auto"/>
              </w:rPr>
              <w:t>Accrued</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40" w:type="dxa"/>
            <w:vAlign w:val="bottom"/>
            <w:vMerge w:val="restart"/>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Net investment</w:t>
            </w: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40" w:type="dxa"/>
            <w:vAlign w:val="bottom"/>
            <w:vMerge w:val="restart"/>
            <w:shd w:val="clear" w:color="auto" w:fill="CCEEFF"/>
          </w:tcPr>
          <w:p>
            <w:pPr>
              <w:jc w:val="center"/>
              <w:ind w:right="11"/>
              <w:spacing w:after="0" w:line="194" w:lineRule="exact"/>
              <w:rPr>
                <w:sz w:val="20"/>
                <w:szCs w:val="20"/>
                <w:color w:val="auto"/>
              </w:rPr>
            </w:pPr>
            <w:r>
              <w:rPr>
                <w:rFonts w:ascii="Times New Roman" w:cs="Times New Roman" w:eastAsia="Times New Roman" w:hAnsi="Times New Roman"/>
                <w:sz w:val="18"/>
                <w:szCs w:val="18"/>
                <w:color w:val="auto"/>
                <w:w w:val="98"/>
              </w:rPr>
              <w:t>Liabilities &amp;</w:t>
            </w: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40" w:type="dxa"/>
            <w:vAlign w:val="bottom"/>
            <w:vMerge w:val="restart"/>
            <w:shd w:val="clear" w:color="auto" w:fill="CCEEFF"/>
          </w:tcPr>
          <w:p>
            <w:pPr>
              <w:jc w:val="center"/>
              <w:ind w:right="11"/>
              <w:spacing w:after="0" w:line="199" w:lineRule="exact"/>
              <w:rPr>
                <w:sz w:val="20"/>
                <w:szCs w:val="20"/>
                <w:color w:val="auto"/>
              </w:rPr>
            </w:pPr>
            <w:r>
              <w:rPr>
                <w:rFonts w:ascii="Times New Roman" w:cs="Times New Roman" w:eastAsia="Times New Roman" w:hAnsi="Times New Roman"/>
                <w:sz w:val="18"/>
                <w:szCs w:val="18"/>
                <w:color w:val="auto"/>
                <w:w w:val="99"/>
              </w:rPr>
              <w:t>Assets &amp; Other</w:t>
            </w: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hedges</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40" w:type="dxa"/>
            <w:vAlign w:val="bottom"/>
            <w:vMerge w:val="restart"/>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1,590.0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ind w:right="11"/>
              <w:spacing w:after="0" w:line="184" w:lineRule="exact"/>
              <w:rPr>
                <w:sz w:val="20"/>
                <w:szCs w:val="20"/>
                <w:color w:val="auto"/>
              </w:rPr>
            </w:pPr>
            <w:r>
              <w:rPr>
                <w:rFonts w:ascii="Times New Roman" w:cs="Times New Roman" w:eastAsia="Times New Roman" w:hAnsi="Times New Roman"/>
                <w:sz w:val="17"/>
                <w:szCs w:val="17"/>
                <w:color w:val="auto"/>
              </w:rPr>
              <w:t>Assets</w:t>
            </w:r>
            <w:r>
              <w:rPr>
                <w:rFonts w:ascii="Times New Roman" w:cs="Times New Roman" w:eastAsia="Times New Roman" w:hAnsi="Times New Roman"/>
                <w:sz w:val="21"/>
                <w:szCs w:val="21"/>
                <w:color w:val="auto"/>
                <w:vertAlign w:val="superscript"/>
              </w:rPr>
              <w:t>(4)</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ind w:right="11"/>
              <w:spacing w:after="0" w:line="189" w:lineRule="exact"/>
              <w:rPr>
                <w:sz w:val="20"/>
                <w:szCs w:val="20"/>
                <w:color w:val="auto"/>
              </w:rPr>
            </w:pPr>
            <w:r>
              <w:rPr>
                <w:rFonts w:ascii="Times New Roman" w:cs="Times New Roman" w:eastAsia="Times New Roman" w:hAnsi="Times New Roman"/>
                <w:sz w:val="17"/>
                <w:szCs w:val="17"/>
                <w:color w:val="auto"/>
              </w:rPr>
              <w:t>Liabilities</w:t>
            </w:r>
            <w:r>
              <w:rPr>
                <w:rFonts w:ascii="Times New Roman" w:cs="Times New Roman" w:eastAsia="Times New Roman" w:hAnsi="Times New Roman"/>
                <w:sz w:val="21"/>
                <w:szCs w:val="21"/>
                <w:color w:val="auto"/>
                <w:vertAlign w:val="superscript"/>
              </w:rPr>
              <w:t>(5)</w:t>
            </w: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40" w:type="dxa"/>
            <w:vAlign w:val="bottom"/>
          </w:tcPr>
          <w:p>
            <w:pPr>
              <w:ind w:left="120"/>
              <w:spacing w:after="0" w:line="156" w:lineRule="exact"/>
              <w:rPr>
                <w:sz w:val="20"/>
                <w:szCs w:val="20"/>
                <w:color w:val="auto"/>
              </w:rPr>
            </w:pPr>
            <w:r>
              <w:rPr>
                <w:rFonts w:ascii="Times New Roman" w:cs="Times New Roman" w:eastAsia="Times New Roman" w:hAnsi="Times New Roman"/>
                <w:sz w:val="18"/>
                <w:szCs w:val="18"/>
                <w:b w:val="1"/>
                <w:bCs w:val="1"/>
                <w:color w:val="auto"/>
              </w:rPr>
              <w:t>Total designated</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40" w:type="dxa"/>
            <w:vAlign w:val="bottom"/>
          </w:tcPr>
          <w:p>
            <w:pPr>
              <w:ind w:left="120"/>
              <w:spacing w:after="0" w:line="180" w:lineRule="exact"/>
              <w:rPr>
                <w:sz w:val="20"/>
                <w:szCs w:val="20"/>
                <w:color w:val="auto"/>
              </w:rPr>
            </w:pPr>
            <w:r>
              <w:rPr>
                <w:rFonts w:ascii="Times New Roman" w:cs="Times New Roman" w:eastAsia="Times New Roman" w:hAnsi="Times New Roman"/>
                <w:sz w:val="18"/>
                <w:szCs w:val="18"/>
                <w:b w:val="1"/>
                <w:bCs w:val="1"/>
                <w:color w:val="auto"/>
              </w:rPr>
              <w:t>hedge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2,261.7</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47.2</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153.7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620" w:type="dxa"/>
            <w:vAlign w:val="bottom"/>
            <w:gridSpan w:val="4"/>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4"/>
              </w:rPr>
              <w:t>Undesignated hedging instruments: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FC - Intercompany</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vMerge w:val="restart"/>
          </w:tcPr>
          <w:p>
            <w:pPr>
              <w:jc w:val="center"/>
              <w:ind w:right="11"/>
              <w:spacing w:after="0"/>
              <w:rPr>
                <w:sz w:val="20"/>
                <w:szCs w:val="20"/>
                <w:color w:val="auto"/>
              </w:rPr>
            </w:pPr>
            <w:r>
              <w:rPr>
                <w:rFonts w:ascii="Times New Roman" w:cs="Times New Roman" w:eastAsia="Times New Roman" w:hAnsi="Times New Roman"/>
                <w:sz w:val="18"/>
                <w:szCs w:val="18"/>
                <w:color w:val="auto"/>
              </w:rPr>
              <w:t>Other Current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vMerge w:val="restart"/>
          </w:tcPr>
          <w:p>
            <w:pPr>
              <w:jc w:val="center"/>
              <w:ind w:right="11"/>
              <w:spacing w:after="0"/>
              <w:rPr>
                <w:sz w:val="20"/>
                <w:szCs w:val="20"/>
                <w:color w:val="auto"/>
              </w:rPr>
            </w:pPr>
            <w:r>
              <w:rPr>
                <w:rFonts w:ascii="Times New Roman" w:cs="Times New Roman" w:eastAsia="Times New Roman" w:hAnsi="Times New Roman"/>
                <w:sz w:val="18"/>
                <w:szCs w:val="18"/>
                <w:color w:val="auto"/>
              </w:rPr>
              <w:t>Accrued</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540" w:type="dxa"/>
            <w:vAlign w:val="bottom"/>
            <w:vMerge w:val="restart"/>
          </w:tcPr>
          <w:p>
            <w:pPr>
              <w:ind w:left="20"/>
              <w:spacing w:after="0" w:line="181" w:lineRule="exact"/>
              <w:rPr>
                <w:sz w:val="20"/>
                <w:szCs w:val="20"/>
                <w:color w:val="auto"/>
              </w:rPr>
            </w:pPr>
            <w:r>
              <w:rPr>
                <w:rFonts w:ascii="Times New Roman" w:cs="Times New Roman" w:eastAsia="Times New Roman" w:hAnsi="Times New Roman"/>
                <w:sz w:val="18"/>
                <w:szCs w:val="18"/>
                <w:color w:val="auto"/>
              </w:rPr>
              <w:t>liabilities and</w:t>
            </w: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155.1</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vMerge w:val="restart"/>
          </w:tcPr>
          <w:p>
            <w:pPr>
              <w:jc w:val="center"/>
              <w:ind w:right="11"/>
              <w:spacing w:after="0"/>
              <w:rPr>
                <w:sz w:val="20"/>
                <w:szCs w:val="20"/>
                <w:color w:val="auto"/>
              </w:rPr>
            </w:pPr>
            <w:r>
              <w:rPr>
                <w:rFonts w:ascii="Times New Roman" w:cs="Times New Roman" w:eastAsia="Times New Roman" w:hAnsi="Times New Roman"/>
                <w:sz w:val="18"/>
                <w:szCs w:val="18"/>
                <w:color w:val="auto"/>
                <w:w w:val="97"/>
              </w:rPr>
              <w:t>Assets</w:t>
            </w:r>
          </w:p>
        </w:tc>
        <w:tc>
          <w:tcPr>
            <w:tcW w:w="120" w:type="dxa"/>
            <w:vAlign w:val="bottom"/>
          </w:tcPr>
          <w:p>
            <w:pPr>
              <w:spacing w:after="0"/>
              <w:rPr>
                <w:sz w:val="7"/>
                <w:szCs w:val="7"/>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vMerge w:val="restart"/>
          </w:tcPr>
          <w:p>
            <w:pPr>
              <w:jc w:val="center"/>
              <w:ind w:right="11"/>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540" w:type="dxa"/>
            <w:vAlign w:val="bottom"/>
          </w:tcPr>
          <w:p>
            <w:pPr>
              <w:ind w:left="20"/>
              <w:spacing w:after="0" w:line="211"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3"/>
                <w:szCs w:val="23"/>
                <w:color w:val="auto"/>
                <w:vertAlign w:val="superscript"/>
              </w:rPr>
              <w:t>(3)</w:t>
            </w: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Hedges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2,416.8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forward foreign currency exchange contracts ("FC") designated as derivative instruments in cash flow hedging relationships.</w:t>
      </w:r>
    </w:p>
    <w:p>
      <w:pPr>
        <w:spacing w:after="0" w:line="89"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cross currency swap foreign exchange contracts ("CCS") and forward foreign exchange contracts ("FC") designated as derivative instruments in net investment hedging relationships.</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forward foreign currency exchange contracts ("FC") not designated as hedges.</w:t>
      </w:r>
    </w:p>
    <w:p>
      <w:pPr>
        <w:spacing w:after="0" w:line="89"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March 29, 2025, the Company recorded $10.1 million within Other Current Assets and $19.1 million within Other Assets. As of June 29, 2024, the Company recorded $11.6 million within Other Current Assets and $20.6 million within Other Assets.</w:t>
      </w:r>
    </w:p>
    <w:p>
      <w:pPr>
        <w:spacing w:after="0" w:line="90" w:lineRule="exact"/>
        <w:rPr>
          <w:rFonts w:ascii="Times New Roman" w:cs="Times New Roman" w:eastAsia="Times New Roman" w:hAnsi="Times New Roman"/>
          <w:sz w:val="23"/>
          <w:szCs w:val="23"/>
          <w:color w:val="auto"/>
          <w:vertAlign w:val="superscript"/>
        </w:rPr>
      </w:pPr>
    </w:p>
    <w:p>
      <w:pPr>
        <w:ind w:left="340" w:right="20" w:hanging="332"/>
        <w:spacing w:after="0" w:line="229"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March 29, 2025, the Company recorded $2.9 million within Accrued Liabilities and $149.3 million within Other Liabilities. As of June 29, 2024, the Company recorded $2.2 million within Accrued Liabilities and $137.2 million within Other Liabilities.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provides the pretax impact of gains and losses from the Company's designated derivative instruments on its Condensed Consolidated Financial Statements as of March 29, 2025 and March 30, 2024:</w:t>
      </w:r>
    </w:p>
    <w:p>
      <w:pPr>
        <w:spacing w:after="0" w:line="90"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b w:val="1"/>
          <w:bCs w:val="1"/>
          <w:color w:val="auto"/>
        </w:rPr>
        <w:t>Amount of Gain (Loss) Recognized in OCI on</w:t>
      </w:r>
    </w:p>
    <w:p>
      <w:pPr>
        <w:spacing w:after="0" w:line="20"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2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3680" w:type="dxa"/>
            <w:vAlign w:val="bottom"/>
            <w:tcBorders>
              <w:top w:val="single" w:sz="8" w:color="auto"/>
              <w:bottom w:val="single" w:sz="8" w:color="auto"/>
            </w:tcBorders>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March 30, 2024</w:t>
            </w:r>
          </w:p>
        </w:tc>
        <w:tc>
          <w:tcPr>
            <w:tcW w:w="0" w:type="dxa"/>
            <w:vAlign w:val="bottom"/>
          </w:tcPr>
          <w:p>
            <w:pPr>
              <w:spacing w:after="0"/>
              <w:rPr>
                <w:sz w:val="1"/>
                <w:szCs w:val="1"/>
                <w:color w:val="auto"/>
              </w:rPr>
            </w:pPr>
          </w:p>
        </w:tc>
      </w:tr>
      <w:tr>
        <w:trPr>
          <w:trHeight w:val="190"/>
        </w:trPr>
        <w:tc>
          <w:tcPr>
            <w:tcW w:w="7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3"/>
          </w:tcPr>
          <w:p>
            <w:pPr>
              <w:ind w:left="14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Inventory purchases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Interest rates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(10.4)</w:t>
            </w:r>
          </w:p>
        </w:tc>
        <w:tc>
          <w:tcPr>
            <w:tcW w:w="0" w:type="dxa"/>
            <w:vAlign w:val="bottom"/>
          </w:tcPr>
          <w:p>
            <w:pPr>
              <w:spacing w:after="0"/>
              <w:rPr>
                <w:sz w:val="1"/>
                <w:szCs w:val="1"/>
                <w:color w:val="auto"/>
              </w:rPr>
            </w:pPr>
          </w:p>
        </w:tc>
      </w:tr>
      <w:tr>
        <w:trPr>
          <w:trHeight w:val="196"/>
        </w:trPr>
        <w:tc>
          <w:tcPr>
            <w:tcW w:w="728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b w:val="1"/>
                <w:bCs w:val="1"/>
                <w:color w:val="auto"/>
              </w:rPr>
              <w:t>Total cash flow hedges</w:t>
            </w: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(7.9)</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center"/>
              <w:ind w:left="1030"/>
              <w:spacing w:after="0" w:line="196" w:lineRule="exact"/>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103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 hedges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(24.0)</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center"/>
              <w:ind w:left="1030"/>
              <w:spacing w:after="0" w:line="203" w:lineRule="exact"/>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
        </w:trPr>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600" w:type="dxa"/>
            <w:vAlign w:val="bottom"/>
            <w:gridSpan w:val="7"/>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 of Gain (Loss) Reclassified from Accumulated OCI into Income</w:t>
            </w:r>
          </w:p>
        </w:tc>
      </w:tr>
      <w:tr>
        <w:trPr>
          <w:trHeight w:val="27"/>
        </w:trPr>
        <w:tc>
          <w:tcPr>
            <w:tcW w:w="2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4"/>
          </w:tcPr>
          <w:p>
            <w:pPr>
              <w:spacing w:after="0"/>
              <w:rPr>
                <w:sz w:val="2"/>
                <w:szCs w:val="2"/>
                <w:color w:val="auto"/>
              </w:rPr>
            </w:pPr>
          </w:p>
        </w:tc>
      </w:tr>
      <w:tr>
        <w:trPr>
          <w:trHeight w:val="358"/>
        </w:trPr>
        <w:tc>
          <w:tcPr>
            <w:tcW w:w="2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2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7"/>
        </w:trPr>
        <w:tc>
          <w:tcPr>
            <w:tcW w:w="21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28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340" w:type="dxa"/>
            <w:vAlign w:val="bottom"/>
          </w:tcPr>
          <w:p>
            <w:pPr>
              <w:spacing w:after="0"/>
              <w:rPr>
                <w:sz w:val="20"/>
                <w:szCs w:val="20"/>
                <w:color w:val="auto"/>
              </w:rPr>
            </w:pP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March 30, 2024</w:t>
            </w:r>
          </w:p>
        </w:tc>
      </w:tr>
      <w:tr>
        <w:trPr>
          <w:trHeight w:val="190"/>
        </w:trPr>
        <w:tc>
          <w:tcPr>
            <w:tcW w:w="21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3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gridSpan w:val="3"/>
          </w:tcPr>
          <w:p>
            <w:pPr>
              <w:jc w:val="center"/>
              <w:ind w:left="133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700" w:type="dxa"/>
            <w:vAlign w:val="bottom"/>
            <w:tcBorders>
              <w:top w:val="single" w:sz="8" w:color="auto"/>
            </w:tcBorders>
          </w:tcPr>
          <w:p>
            <w:pPr>
              <w:spacing w:after="0"/>
              <w:rPr>
                <w:sz w:val="16"/>
                <w:szCs w:val="16"/>
                <w:color w:val="auto"/>
              </w:rPr>
            </w:pPr>
          </w:p>
        </w:tc>
      </w:tr>
      <w:tr>
        <w:trPr>
          <w:trHeight w:val="236"/>
        </w:trPr>
        <w:tc>
          <w:tcPr>
            <w:tcW w:w="4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2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57"/>
        </w:trPr>
        <w:tc>
          <w:tcPr>
            <w:tcW w:w="4640" w:type="dxa"/>
            <w:vAlign w:val="bottom"/>
            <w:gridSpan w:val="2"/>
          </w:tcPr>
          <w:p>
            <w:pPr>
              <w:ind w:left="240"/>
              <w:spacing w:after="0" w:line="256" w:lineRule="exact"/>
              <w:rPr>
                <w:sz w:val="20"/>
                <w:szCs w:val="20"/>
                <w:color w:val="auto"/>
              </w:rPr>
            </w:pPr>
            <w:r>
              <w:rPr>
                <w:rFonts w:ascii="Times New Roman" w:cs="Times New Roman" w:eastAsia="Times New Roman" w:hAnsi="Times New Roman"/>
                <w:sz w:val="18"/>
                <w:szCs w:val="18"/>
                <w:color w:val="auto"/>
              </w:rPr>
              <w:t>Inventory purchases</w:t>
            </w:r>
            <w:r>
              <w:rPr>
                <w:rFonts w:ascii="Times New Roman" w:cs="Times New Roman" w:eastAsia="Times New Roman" w:hAnsi="Times New Roman"/>
                <w:sz w:val="23"/>
                <w:szCs w:val="23"/>
                <w:color w:val="auto"/>
                <w:vertAlign w:val="superscript"/>
              </w:rPr>
              <w:t>(1)</w:t>
            </w: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Cost of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35.3</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56"/>
        </w:trPr>
        <w:tc>
          <w:tcPr>
            <w:tcW w:w="4640" w:type="dxa"/>
            <w:vAlign w:val="bottom"/>
            <w:gridSpan w:val="2"/>
            <w:shd w:val="clear" w:color="auto" w:fill="CCEEFF"/>
          </w:tcPr>
          <w:p>
            <w:pPr>
              <w:ind w:left="240"/>
              <w:spacing w:after="0" w:line="256" w:lineRule="exact"/>
              <w:rPr>
                <w:sz w:val="20"/>
                <w:szCs w:val="20"/>
                <w:color w:val="auto"/>
              </w:rPr>
            </w:pPr>
            <w:r>
              <w:rPr>
                <w:rFonts w:ascii="Times New Roman" w:cs="Times New Roman" w:eastAsia="Times New Roman" w:hAnsi="Times New Roman"/>
                <w:sz w:val="18"/>
                <w:szCs w:val="18"/>
                <w:color w:val="auto"/>
              </w:rPr>
              <w:t>Interest rates</w:t>
            </w:r>
            <w:r>
              <w:rPr>
                <w:rFonts w:ascii="Times New Roman" w:cs="Times New Roman" w:eastAsia="Times New Roman" w:hAnsi="Times New Roman"/>
                <w:sz w:val="23"/>
                <w:szCs w:val="23"/>
                <w:color w:val="auto"/>
                <w:vertAlign w:val="superscript"/>
              </w:rPr>
              <w:t>(2)</w:t>
            </w:r>
          </w:p>
        </w:tc>
        <w:tc>
          <w:tcPr>
            <w:tcW w:w="2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b w:val="1"/>
                <w:bCs w:val="1"/>
                <w:color w:val="auto"/>
                <w:w w:val="98"/>
              </w:rPr>
              <w:t>(0.9)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46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cash flow hedges</w:t>
            </w: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34.4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96"/>
        </w:trPr>
        <w:tc>
          <w:tcPr>
            <w:tcW w:w="4640" w:type="dxa"/>
            <w:vAlign w:val="bottom"/>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Other:</w:t>
            </w:r>
          </w:p>
        </w:tc>
        <w:tc>
          <w:tcPr>
            <w:tcW w:w="2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30"/>
        </w:trPr>
        <w:tc>
          <w:tcPr>
            <w:tcW w:w="4640" w:type="dxa"/>
            <w:vAlign w:val="bottom"/>
            <w:tcBorders>
              <w:bottom w:val="single" w:sz="8" w:color="CCEEFF"/>
            </w:tcBorders>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3"/>
                <w:szCs w:val="23"/>
                <w:color w:val="auto"/>
                <w:vertAlign w:val="superscript"/>
              </w:rPr>
              <w:t>(3)</w:t>
            </w:r>
          </w:p>
        </w:tc>
        <w:tc>
          <w:tcPr>
            <w:tcW w:w="24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Interest income (expense)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13.5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w:t>
            </w:r>
          </w:p>
        </w:tc>
        <w:tc>
          <w:tcPr>
            <w:tcW w:w="2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30"/>
        </w:trPr>
        <w:tc>
          <w:tcPr>
            <w:tcW w:w="46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hedges</w:t>
            </w: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47.9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2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24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spacing w:after="0"/>
              <w:rPr>
                <w:sz w:val="13"/>
                <w:szCs w:val="13"/>
                <w:color w:val="auto"/>
              </w:rPr>
            </w:pPr>
          </w:p>
        </w:tc>
      </w:tr>
    </w:tbl>
    <w:p>
      <w:pPr>
        <w:spacing w:after="0" w:line="154"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forward foreign currency exchange contracts ("FC") designated as derivative instruments in cash flow hedging relationships.</w:t>
      </w:r>
    </w:p>
    <w:p>
      <w:pPr>
        <w:spacing w:after="0" w:line="68" w:lineRule="exact"/>
        <w:rPr>
          <w:rFonts w:ascii="Times New Roman" w:cs="Times New Roman" w:eastAsia="Times New Roman" w:hAnsi="Times New Roman"/>
          <w:sz w:val="23"/>
          <w:szCs w:val="23"/>
          <w:color w:val="auto"/>
          <w:vertAlign w:val="superscript"/>
        </w:rPr>
      </w:pPr>
    </w:p>
    <w:p>
      <w:pPr>
        <w:ind w:left="320" w:hanging="312"/>
        <w:spacing w:after="0" w:line="231" w:lineRule="auto"/>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forward interest rate contracts ("IC") designated as derivative instruments in cash flow hedging relationships.</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cross currency swap contracts ("CCS") and forward foreign exchange contracts ("FC") designated as derivative instruments in net investment hedging relationships, for which the difference between changes in fair value and periodic amortization of excluded components is recorded within AOCI.</w:t>
      </w:r>
    </w:p>
    <w:p>
      <w:pPr>
        <w:spacing w:after="0" w:line="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expects that $16.4 million of net derivative gain related to inventory purchases included in Accumulated other comprehensive income at March 29, 2025 will be reclassified into earnings within the next 12 months. This amount will vary due to fluctuations in foreign currency exchange rates.</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assesses the cross-currency swaps and forward exchange contracts used as net investment hedges under the spot method. This results in the cross-currency basis spread on the cross-currency swaps and the difference between the spot rate and the forward rate of the forward exchange contract being excluded from the assessment of hedge effectiveness, and recorded as incurred as a reduction in Interest expense, net in the Company’s Condensed Consolidated Statements of Operations. Accordingly, the Company recorded net interest income of $23.1 million and $21.8 million during the nine months ended March 29, 2025 and March 30, 2024,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weighted-average number of shares outstanding during the period. Diluted net income per share is calculated similarly but includes potential dilution from the exercise of stock options and restricted stock units and any other potentially dilutive instruments, only in the periods in which such effects are dilutive under the treasury stock method.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the weighted-average shares outstanding and calculation of basic and diluted earnings per share: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28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50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272"/>
              <w:spacing w:after="0" w:line="169" w:lineRule="exact"/>
              <w:rPr>
                <w:sz w:val="20"/>
                <w:szCs w:val="20"/>
                <w:color w:val="auto"/>
              </w:rPr>
            </w:pPr>
            <w:r>
              <w:rPr>
                <w:rFonts w:ascii="Times New Roman" w:cs="Times New Roman" w:eastAsia="Times New Roman" w:hAnsi="Times New Roman"/>
                <w:sz w:val="18"/>
                <w:szCs w:val="18"/>
                <w:color w:val="auto"/>
              </w:rPr>
              <w:t>March 30,</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March 30,</w:t>
            </w:r>
          </w:p>
        </w:tc>
      </w:tr>
      <w:tr>
        <w:trPr>
          <w:trHeight w:val="241"/>
        </w:trPr>
        <w:tc>
          <w:tcPr>
            <w:tcW w:w="5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192"/>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1"/>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basic shares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securities: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diluted shares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5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4"/>
        </w:trPr>
        <w:tc>
          <w:tcPr>
            <w:tcW w:w="5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02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0.95</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3.12</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2.82</w:t>
            </w:r>
          </w:p>
        </w:tc>
      </w:tr>
      <w:tr>
        <w:trPr>
          <w:trHeight w:val="21"/>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Earnings per share amounts have been calculated based on unrounded numbers. Options to purchase shares of the Company's common stock at an exercise price greater than the average market price of the common stock during the reporting period are anti-dilutive and therefore not included in the computation of diluted net income (loss) per common share. In addition, the Company has outstanding restricted stock unit awards that are issuable only upon the achievement of certain performance goals. Performance-based restricted stock unit awards are included in the computation of diluted shares only to the extent that the underlying performance conditions and any applicable market condition modifiers (i) are satisfied as of the end of the reporting period or (ii) would be considered satisfied if the end of the reporting period were the end of the related contingency period and the result would be dilutive under the treasury stock method. As of March 29, 2025 and March 30, 2024, there were 0.7 million and 0.2 million, respectively, of additional shares issuable upon exercise of anti-dilutive options and contingent vesting of performance-based restricted stock unit awards, which were excluded from the diluted share calculations.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share-based compensation expense and the related tax benefits recognized in the Company's Condensed Consolidated Statements of Operations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260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54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234"/>
              <w:spacing w:after="0" w:line="169" w:lineRule="exact"/>
              <w:rPr>
                <w:sz w:val="20"/>
                <w:szCs w:val="20"/>
                <w:color w:val="auto"/>
              </w:rPr>
            </w:pPr>
            <w:r>
              <w:rPr>
                <w:rFonts w:ascii="Times New Roman" w:cs="Times New Roman" w:eastAsia="Times New Roman" w:hAnsi="Times New Roman"/>
                <w:sz w:val="18"/>
                <w:szCs w:val="18"/>
                <w:color w:val="auto"/>
              </w:rPr>
              <w:t>March 30,</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March 30,</w:t>
            </w:r>
          </w:p>
        </w:tc>
      </w:tr>
      <w:tr>
        <w:trPr>
          <w:trHeight w:val="243"/>
        </w:trPr>
        <w:tc>
          <w:tcPr>
            <w:tcW w:w="54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50"/>
              <w:spacing w:after="0" w:line="243" w:lineRule="exact"/>
              <w:rPr>
                <w:sz w:val="20"/>
                <w:szCs w:val="20"/>
                <w:color w:val="auto"/>
              </w:rPr>
            </w:pP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23"/>
                <w:szCs w:val="23"/>
                <w:b w:val="1"/>
                <w:bCs w:val="1"/>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line="243" w:lineRule="exact"/>
              <w:rPr>
                <w:sz w:val="20"/>
                <w:szCs w:val="20"/>
                <w:color w:val="auto"/>
              </w:rPr>
            </w:pP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23"/>
                <w:szCs w:val="23"/>
                <w:b w:val="1"/>
                <w:bCs w:val="1"/>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r>
      <w:tr>
        <w:trPr>
          <w:trHeight w:val="190"/>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3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related to share-based compensation expense</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12.1</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3798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31" w:lineRule="exact"/>
        <w:rPr>
          <w:sz w:val="20"/>
          <w:szCs w:val="20"/>
          <w:color w:val="auto"/>
        </w:rPr>
      </w:pPr>
    </w:p>
    <w:p>
      <w:pPr>
        <w:jc w:val="both"/>
        <w:ind w:left="340" w:hanging="332"/>
        <w:spacing w:after="0" w:line="235" w:lineRule="auto"/>
        <w:tabs>
          <w:tab w:leader="none" w:pos="328" w:val="left"/>
        </w:tabs>
        <w:numPr>
          <w:ilvl w:val="0"/>
          <w:numId w:val="15"/>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During the three and nine months ended March 29, 2025, the Company incurred $1.0 million of share-based compensation expense related to the modification of award terms in connection with the sale of the Stuart Weitzman Business. Refer to Note 5, "Acquisitions and Divestitures" for further information.</w:t>
      </w:r>
    </w:p>
    <w:p>
      <w:pPr>
        <w:spacing w:after="0" w:line="87" w:lineRule="exact"/>
        <w:rPr>
          <w:rFonts w:ascii="Times New Roman" w:cs="Times New Roman" w:eastAsia="Times New Roman" w:hAnsi="Times New Roman"/>
          <w:sz w:val="23"/>
          <w:szCs w:val="23"/>
          <w:b w:val="1"/>
          <w:bCs w:val="1"/>
          <w:color w:val="auto"/>
          <w:vertAlign w:val="superscript"/>
        </w:rPr>
      </w:pPr>
    </w:p>
    <w:p>
      <w:pPr>
        <w:ind w:left="340"/>
        <w:spacing w:after="0"/>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b w:val="1"/>
          <w:bCs w:val="1"/>
          <w:i w:val="1"/>
          <w:iCs w:val="1"/>
          <w:color w:val="auto"/>
        </w:rPr>
        <w:t>Stock Options</w:t>
      </w:r>
    </w:p>
    <w:p>
      <w:pPr>
        <w:spacing w:after="0" w:line="121" w:lineRule="exact"/>
        <w:rPr>
          <w:rFonts w:ascii="Times New Roman" w:cs="Times New Roman" w:eastAsia="Times New Roman" w:hAnsi="Times New Roman"/>
          <w:sz w:val="23"/>
          <w:szCs w:val="23"/>
          <w:b w:val="1"/>
          <w:bCs w:val="1"/>
          <w:color w:val="auto"/>
          <w:vertAlign w:val="superscript"/>
        </w:rPr>
      </w:pPr>
    </w:p>
    <w:p>
      <w:pPr>
        <w:ind w:left="340"/>
        <w:spacing w:after="0"/>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A summary of stock option activity during the nine months ended March 29, 2025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184"/>
        </w:trPr>
        <w:tc>
          <w:tcPr>
            <w:tcW w:w="9180" w:type="dxa"/>
            <w:vAlign w:val="bottom"/>
          </w:tcPr>
          <w:p>
            <w:pPr>
              <w:spacing w:after="0"/>
              <w:rPr>
                <w:sz w:val="16"/>
                <w:szCs w:val="16"/>
                <w:color w:val="auto"/>
              </w:rPr>
            </w:pPr>
          </w:p>
        </w:tc>
        <w:tc>
          <w:tcPr>
            <w:tcW w:w="20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Options</w:t>
            </w:r>
          </w:p>
        </w:tc>
      </w:tr>
      <w:tr>
        <w:trPr>
          <w:trHeight w:val="229"/>
        </w:trPr>
        <w:tc>
          <w:tcPr>
            <w:tcW w:w="918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190"/>
        </w:trPr>
        <w:tc>
          <w:tcPr>
            <w:tcW w:w="91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29, 2024</w:t>
            </w:r>
          </w:p>
        </w:tc>
        <w:tc>
          <w:tcPr>
            <w:tcW w:w="2060" w:type="dxa"/>
            <w:vAlign w:val="bottom"/>
            <w:shd w:val="clear" w:color="auto" w:fill="CCEEFF"/>
          </w:tcPr>
          <w:p>
            <w:pPr>
              <w:jc w:val="center"/>
              <w:ind w:left="1592"/>
              <w:spacing w:after="0"/>
              <w:rPr>
                <w:sz w:val="20"/>
                <w:szCs w:val="20"/>
                <w:color w:val="auto"/>
              </w:rPr>
            </w:pPr>
            <w:r>
              <w:rPr>
                <w:rFonts w:ascii="Times New Roman" w:cs="Times New Roman" w:eastAsia="Times New Roman" w:hAnsi="Times New Roman"/>
                <w:sz w:val="18"/>
                <w:szCs w:val="18"/>
                <w:color w:val="auto"/>
                <w:w w:val="97"/>
              </w:rPr>
              <w:t>8.2</w:t>
            </w:r>
          </w:p>
        </w:tc>
      </w:tr>
      <w:tr>
        <w:trPr>
          <w:trHeight w:val="230"/>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2060" w:type="dxa"/>
            <w:vAlign w:val="bottom"/>
          </w:tcPr>
          <w:p>
            <w:pPr>
              <w:jc w:val="center"/>
              <w:ind w:left="1592"/>
              <w:spacing w:after="0"/>
              <w:rPr>
                <w:sz w:val="20"/>
                <w:szCs w:val="20"/>
                <w:color w:val="auto"/>
              </w:rPr>
            </w:pPr>
            <w:r>
              <w:rPr>
                <w:rFonts w:ascii="Times New Roman" w:cs="Times New Roman" w:eastAsia="Times New Roman" w:hAnsi="Times New Roman"/>
                <w:sz w:val="18"/>
                <w:szCs w:val="18"/>
                <w:b w:val="1"/>
                <w:bCs w:val="1"/>
                <w:color w:val="auto"/>
                <w:w w:val="97"/>
              </w:rPr>
              <w:t>1.0</w:t>
            </w:r>
          </w:p>
        </w:tc>
      </w:tr>
      <w:tr>
        <w:trPr>
          <w:trHeight w:val="230"/>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Exercised</w:t>
            </w:r>
          </w:p>
        </w:tc>
        <w:tc>
          <w:tcPr>
            <w:tcW w:w="2060" w:type="dxa"/>
            <w:vAlign w:val="bottom"/>
            <w:shd w:val="clear" w:color="auto" w:fill="CCEEFF"/>
          </w:tcPr>
          <w:p>
            <w:pPr>
              <w:jc w:val="center"/>
              <w:ind w:left="1572"/>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29"/>
        </w:trPr>
        <w:tc>
          <w:tcPr>
            <w:tcW w:w="9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Forfeited or expired</w:t>
            </w:r>
          </w:p>
        </w:tc>
        <w:tc>
          <w:tcPr>
            <w:tcW w:w="2060" w:type="dxa"/>
            <w:vAlign w:val="bottom"/>
            <w:tcBorders>
              <w:bottom w:val="single" w:sz="8" w:color="auto"/>
            </w:tcBorders>
          </w:tcPr>
          <w:p>
            <w:pPr>
              <w:jc w:val="center"/>
              <w:ind w:left="1572"/>
              <w:spacing w:after="0"/>
              <w:rPr>
                <w:sz w:val="20"/>
                <w:szCs w:val="20"/>
                <w:color w:val="auto"/>
              </w:rPr>
            </w:pPr>
            <w:r>
              <w:rPr>
                <w:rFonts w:ascii="Times New Roman" w:cs="Times New Roman" w:eastAsia="Times New Roman" w:hAnsi="Times New Roman"/>
                <w:sz w:val="18"/>
                <w:szCs w:val="18"/>
                <w:b w:val="1"/>
                <w:bCs w:val="1"/>
                <w:color w:val="auto"/>
              </w:rPr>
              <w:t>(0.2)</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March 29, 2025</w:t>
            </w:r>
          </w:p>
        </w:tc>
        <w:tc>
          <w:tcPr>
            <w:tcW w:w="2060" w:type="dxa"/>
            <w:vAlign w:val="bottom"/>
            <w:tcBorders>
              <w:bottom w:val="single" w:sz="8" w:color="auto"/>
            </w:tcBorders>
            <w:shd w:val="clear" w:color="auto" w:fill="CCEEFF"/>
          </w:tcPr>
          <w:p>
            <w:pPr>
              <w:jc w:val="center"/>
              <w:ind w:left="1592"/>
              <w:spacing w:after="0"/>
              <w:rPr>
                <w:sz w:val="20"/>
                <w:szCs w:val="20"/>
                <w:color w:val="auto"/>
              </w:rPr>
            </w:pPr>
            <w:r>
              <w:rPr>
                <w:rFonts w:ascii="Times New Roman" w:cs="Times New Roman" w:eastAsia="Times New Roman" w:hAnsi="Times New Roman"/>
                <w:sz w:val="18"/>
                <w:szCs w:val="18"/>
                <w:b w:val="1"/>
                <w:bCs w:val="1"/>
                <w:color w:val="auto"/>
                <w:w w:val="97"/>
              </w:rPr>
              <w:t>5.5</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nine months ended March 29, 2025 and March 30, 2024 was $12.11 and $10.35, respectively. The fair value of each option grant is estimated on the date of grant using the Black-Scholes option pricing model and the following weighted-average assumptions: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100" w:type="dxa"/>
            <w:vAlign w:val="bottom"/>
          </w:tcPr>
          <w:p>
            <w:pPr>
              <w:spacing w:after="0"/>
              <w:rPr>
                <w:sz w:val="18"/>
                <w:szCs w:val="18"/>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March 30,</w:t>
            </w:r>
          </w:p>
        </w:tc>
      </w:tr>
      <w:tr>
        <w:trPr>
          <w:trHeight w:val="241"/>
        </w:trPr>
        <w:tc>
          <w:tcPr>
            <w:tcW w:w="7780" w:type="dxa"/>
            <w:vAlign w:val="bottom"/>
          </w:tcPr>
          <w:p>
            <w:pPr>
              <w:spacing w:after="0"/>
              <w:rPr>
                <w:sz w:val="20"/>
                <w:szCs w:val="20"/>
                <w:color w:val="auto"/>
              </w:rPr>
            </w:pP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760" w:type="dxa"/>
            <w:vAlign w:val="bottom"/>
            <w:gridSpan w:val="2"/>
          </w:tcPr>
          <w:p>
            <w:pPr>
              <w:jc w:val="right"/>
              <w:ind w:right="575"/>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r>
      <w:tr>
        <w:trPr>
          <w:trHeight w:val="225"/>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68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40.9 %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20" w:type="dxa"/>
            <w:vAlign w:val="bottom"/>
          </w:tcPr>
          <w:p>
            <w:pPr>
              <w:spacing w:after="0"/>
              <w:rPr>
                <w:sz w:val="19"/>
                <w:szCs w:val="19"/>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3.8 %</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0" w:type="dxa"/>
            <w:vAlign w:val="bottom"/>
          </w:tcPr>
          <w:p>
            <w:pPr>
              <w:spacing w:after="0"/>
              <w:rPr>
                <w:sz w:val="19"/>
                <w:szCs w:val="19"/>
                <w:color w:val="auto"/>
              </w:rPr>
            </w:pPr>
          </w:p>
        </w:tc>
      </w:tr>
      <w:tr>
        <w:trPr>
          <w:trHeight w:val="238"/>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0" w:type="dxa"/>
            <w:vAlign w:val="bottom"/>
          </w:tcPr>
          <w:p>
            <w:pPr>
              <w:spacing w:after="0"/>
              <w:rPr>
                <w:sz w:val="20"/>
                <w:szCs w:val="20"/>
                <w:color w:val="auto"/>
              </w:rPr>
            </w:pPr>
          </w:p>
        </w:tc>
      </w:tr>
      <w:tr>
        <w:trPr>
          <w:trHeight w:val="410"/>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Service-based Restricted Stock Unit Awards ("RSUs")</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service-based RSU activity during the nine months ended March 29, 2025 is as follows:</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7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1"/>
        </w:trPr>
        <w:tc>
          <w:tcPr>
            <w:tcW w:w="77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Non-vested RSUs</w:t>
            </w:r>
          </w:p>
        </w:tc>
      </w:tr>
      <w:tr>
        <w:trPr>
          <w:trHeight w:val="192"/>
        </w:trPr>
        <w:tc>
          <w:tcPr>
            <w:tcW w:w="7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29, 2024</w:t>
            </w:r>
          </w:p>
        </w:tc>
        <w:tc>
          <w:tcPr>
            <w:tcW w:w="1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center"/>
              <w:ind w:left="1330"/>
              <w:spacing w:after="0"/>
              <w:rPr>
                <w:sz w:val="20"/>
                <w:szCs w:val="20"/>
                <w:color w:val="auto"/>
              </w:rPr>
            </w:pPr>
            <w:r>
              <w:rPr>
                <w:rFonts w:ascii="Times New Roman" w:cs="Times New Roman" w:eastAsia="Times New Roman" w:hAnsi="Times New Roman"/>
                <w:sz w:val="18"/>
                <w:szCs w:val="18"/>
                <w:color w:val="auto"/>
                <w:w w:val="97"/>
              </w:rPr>
              <w:t>5.2</w:t>
            </w:r>
          </w:p>
        </w:tc>
        <w:tc>
          <w:tcPr>
            <w:tcW w:w="20" w:type="dxa"/>
            <w:vAlign w:val="bottom"/>
            <w:shd w:val="clear" w:color="auto" w:fill="CCEEFF"/>
          </w:tcPr>
          <w:p>
            <w:pPr>
              <w:spacing w:after="0"/>
              <w:rPr>
                <w:sz w:val="20"/>
                <w:szCs w:val="20"/>
                <w:color w:val="auto"/>
              </w:rPr>
            </w:pPr>
          </w:p>
        </w:tc>
      </w:tr>
      <w:tr>
        <w:trPr>
          <w:trHeight w:val="230"/>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7"/>
              </w:rPr>
              <w:t>1.9</w:t>
            </w:r>
          </w:p>
        </w:tc>
        <w:tc>
          <w:tcPr>
            <w:tcW w:w="20" w:type="dxa"/>
            <w:vAlign w:val="bottom"/>
          </w:tcPr>
          <w:p>
            <w:pPr>
              <w:spacing w:after="0"/>
              <w:rPr>
                <w:sz w:val="19"/>
                <w:szCs w:val="19"/>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29"/>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1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(0.2)</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March 29, 2025</w:t>
            </w:r>
          </w:p>
        </w:tc>
        <w:tc>
          <w:tcPr>
            <w:tcW w:w="1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gridSpan w:val="2"/>
            <w:shd w:val="clear" w:color="auto" w:fill="CCEEFF"/>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7"/>
              </w:rPr>
              <w:t>4.7</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share awards granted during the nine months ended March 29, 2025 and March 30, 2024 was $41.97 and $33.14,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 Awards ("PRSUs")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PRSU activity during the nine months ended March 29, 2025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41"/>
        </w:trPr>
        <w:tc>
          <w:tcPr>
            <w:tcW w:w="918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Non-vested PRSUs</w:t>
            </w:r>
          </w:p>
        </w:tc>
      </w:tr>
      <w:tr>
        <w:trPr>
          <w:trHeight w:val="192"/>
        </w:trPr>
        <w:tc>
          <w:tcPr>
            <w:tcW w:w="91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29, 2024</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r>
      <w:tr>
        <w:trPr>
          <w:trHeight w:val="230"/>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Change due to performance condition achievement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r>
      <w:tr>
        <w:trPr>
          <w:trHeight w:val="229"/>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223"/>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March 29, 2025</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
        </w:trPr>
        <w:tc>
          <w:tcPr>
            <w:tcW w:w="91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PRSU awards included in the non-vested amount are based on certain Company-specific financial metrics. The effect of the change due to performance condition on the non-vested amount is recognized at the conclusion of the performance period, which may differ from the date on which the award vests.</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per share of PRSU awards granted during the nine months ended March 29, 2025 and March 30, 2024 was $47.14 and $33.83,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11. DEBT</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24"/>
        </w:trPr>
        <w:tc>
          <w:tcPr>
            <w:tcW w:w="140" w:type="dxa"/>
            <w:vAlign w:val="bottom"/>
          </w:tcPr>
          <w:p>
            <w:pPr>
              <w:spacing w:after="0"/>
              <w:rPr>
                <w:sz w:val="24"/>
                <w:szCs w:val="24"/>
                <w:color w:val="auto"/>
              </w:rPr>
            </w:pPr>
          </w:p>
        </w:tc>
        <w:tc>
          <w:tcPr>
            <w:tcW w:w="77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components of the Company’s outstanding debt:</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340" w:type="dxa"/>
            <w:vAlign w:val="bottom"/>
          </w:tcPr>
          <w:p>
            <w:pPr>
              <w:spacing w:after="0"/>
              <w:rPr>
                <w:sz w:val="24"/>
                <w:szCs w:val="24"/>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June 29,</w:t>
            </w:r>
          </w:p>
        </w:tc>
      </w:tr>
      <w:tr>
        <w:trPr>
          <w:trHeight w:val="241"/>
        </w:trPr>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192"/>
        </w:trPr>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6"/>
                <w:szCs w:val="16"/>
                <w:color w:val="auto"/>
              </w:rPr>
            </w:pPr>
          </w:p>
        </w:tc>
      </w:tr>
      <w:tr>
        <w:trPr>
          <w:trHeight w:val="236"/>
        </w:trPr>
        <w:tc>
          <w:tcPr>
            <w:tcW w:w="79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Debt:</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7920" w:type="dxa"/>
            <w:vAlign w:val="bottom"/>
            <w:gridSpan w:val="5"/>
          </w:tcPr>
          <w:p>
            <w:pPr>
              <w:ind w:left="140"/>
              <w:spacing w:after="0" w:line="230" w:lineRule="exact"/>
              <w:rPr>
                <w:sz w:val="20"/>
                <w:szCs w:val="20"/>
                <w:color w:val="auto"/>
              </w:rPr>
            </w:pPr>
            <w:r>
              <w:rPr>
                <w:rFonts w:ascii="Times New Roman" w:cs="Times New Roman" w:eastAsia="Times New Roman" w:hAnsi="Times New Roman"/>
                <w:sz w:val="18"/>
                <w:szCs w:val="18"/>
                <w:color w:val="auto"/>
              </w:rPr>
              <w:t>4.250% Senior Notes due 2025</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r>
      <w:tr>
        <w:trPr>
          <w:trHeight w:val="229"/>
        </w:trPr>
        <w:tc>
          <w:tcPr>
            <w:tcW w:w="7920" w:type="dxa"/>
            <w:vAlign w:val="bottom"/>
            <w:gridSpan w:val="5"/>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China Credit Facility</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Debt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w:t>
            </w: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7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9"/>
        </w:trPr>
        <w:tc>
          <w:tcPr>
            <w:tcW w:w="1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USD Senior Notes:</w:t>
            </w:r>
          </w:p>
        </w:tc>
        <w:tc>
          <w:tcPr>
            <w:tcW w:w="638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9"/>
        </w:trPr>
        <w:tc>
          <w:tcPr>
            <w:tcW w:w="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7.050%</w:t>
            </w:r>
          </w:p>
        </w:tc>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7.000%</w:t>
            </w:r>
          </w:p>
        </w:tc>
        <w:tc>
          <w:tcPr>
            <w:tcW w:w="7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2026</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4.125%</w:t>
            </w:r>
          </w:p>
        </w:tc>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2027</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r>
      <w:tr>
        <w:trPr>
          <w:trHeight w:val="230"/>
        </w:trPr>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7.350%</w:t>
            </w:r>
          </w:p>
        </w:tc>
        <w:tc>
          <w:tcPr>
            <w:tcW w:w="7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5.100%</w:t>
            </w:r>
          </w:p>
        </w:tc>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2030</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7.700%</w:t>
            </w:r>
          </w:p>
        </w:tc>
        <w:tc>
          <w:tcPr>
            <w:tcW w:w="7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2030</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3.050%</w:t>
            </w:r>
          </w:p>
        </w:tc>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2032</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7.850%</w:t>
            </w:r>
          </w:p>
        </w:tc>
        <w:tc>
          <w:tcPr>
            <w:tcW w:w="7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2033</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30"/>
        </w:trPr>
        <w:tc>
          <w:tcPr>
            <w:tcW w:w="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5.500%</w:t>
            </w:r>
          </w:p>
        </w:tc>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2035</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EUR Senior Notes:</w:t>
            </w:r>
          </w:p>
        </w:tc>
        <w:tc>
          <w:tcPr>
            <w:tcW w:w="638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9"/>
        </w:trPr>
        <w:tc>
          <w:tcPr>
            <w:tcW w:w="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5.350%</w:t>
            </w:r>
          </w:p>
        </w:tc>
        <w:tc>
          <w:tcPr>
            <w:tcW w:w="708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EUR Senior Notes due 2025</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w:t>
            </w:r>
          </w:p>
        </w:tc>
      </w:tr>
      <w:tr>
        <w:trPr>
          <w:trHeight w:val="230"/>
        </w:trPr>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5.375%</w:t>
            </w:r>
          </w:p>
        </w:tc>
        <w:tc>
          <w:tcPr>
            <w:tcW w:w="708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EUR Senior Notes due 2027</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w:t>
            </w:r>
          </w:p>
        </w:tc>
      </w:tr>
      <w:tr>
        <w:trPr>
          <w:trHeight w:val="230"/>
        </w:trPr>
        <w:tc>
          <w:tcPr>
            <w:tcW w:w="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5.875%</w:t>
            </w:r>
          </w:p>
        </w:tc>
        <w:tc>
          <w:tcPr>
            <w:tcW w:w="708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EUR Senior Notes due 2031</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w:t>
            </w:r>
          </w:p>
        </w:tc>
      </w:tr>
      <w:tr>
        <w:trPr>
          <w:trHeight w:val="223"/>
        </w:trPr>
        <w:tc>
          <w:tcPr>
            <w:tcW w:w="7920" w:type="dxa"/>
            <w:vAlign w:val="bottom"/>
            <w:tcBorders>
              <w:top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2,396.6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7,003.4</w:t>
            </w:r>
          </w:p>
        </w:tc>
      </w:tr>
      <w:tr>
        <w:trPr>
          <w:trHeight w:val="223"/>
        </w:trPr>
        <w:tc>
          <w:tcPr>
            <w:tcW w:w="7920" w:type="dxa"/>
            <w:vAlign w:val="bottom"/>
            <w:tcBorders>
              <w:bottom w:val="single" w:sz="8" w:color="CCEEFF"/>
            </w:tcBorders>
            <w:gridSpan w:val="5"/>
          </w:tcPr>
          <w:p>
            <w:pPr>
              <w:ind w:left="140"/>
              <w:spacing w:after="0"/>
              <w:rPr>
                <w:sz w:val="20"/>
                <w:szCs w:val="20"/>
                <w:color w:val="auto"/>
              </w:rPr>
            </w:pPr>
            <w:r>
              <w:rPr>
                <w:rFonts w:ascii="Times New Roman" w:cs="Times New Roman" w:eastAsia="Times New Roman" w:hAnsi="Times New Roman"/>
                <w:sz w:val="18"/>
                <w:szCs w:val="18"/>
                <w:color w:val="auto"/>
              </w:rPr>
              <w:t>Less: Unamortized discount and debt issuance costs on Senior Notes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48"/>
        </w:trPr>
        <w:tc>
          <w:tcPr>
            <w:tcW w:w="79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6,937.2</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5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bl>
    <w:p>
      <w:pPr>
        <w:spacing w:after="0" w:line="171" w:lineRule="exact"/>
        <w:rPr>
          <w:sz w:val="20"/>
          <w:szCs w:val="20"/>
          <w:color w:val="auto"/>
        </w:rPr>
      </w:pPr>
    </w:p>
    <w:p>
      <w:pPr>
        <w:ind w:left="340" w:hanging="332"/>
        <w:spacing w:after="0" w:line="229"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April 1, 2025, the Company completed the redemption of $303.4 million remaining principal of the 4.250% Senior Notes due 2025. Refer to Note 17, "Subsequent Events" for further information.</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 outstanding under the China Credit Facility includes the impact of changes in the exchange rate of the United States Dollar against the Renminbi.</w:t>
      </w:r>
    </w:p>
    <w:p>
      <w:pPr>
        <w:spacing w:after="0" w:line="90" w:lineRule="exact"/>
        <w:rPr>
          <w:rFonts w:ascii="Times New Roman" w:cs="Times New Roman" w:eastAsia="Times New Roman" w:hAnsi="Times New Roman"/>
          <w:sz w:val="23"/>
          <w:szCs w:val="23"/>
          <w:color w:val="auto"/>
          <w:vertAlign w:val="superscript"/>
        </w:rPr>
      </w:pPr>
    </w:p>
    <w:p>
      <w:pPr>
        <w:ind w:left="340" w:right="20" w:hanging="332"/>
        <w:spacing w:after="0" w:line="229"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carrying amounts of the Capri Acquisition EUR Senior Notes include the impact of changes in the exchange rate of the United States Dollar against the Euro.</w:t>
      </w:r>
    </w:p>
    <w:p>
      <w:pPr>
        <w:spacing w:after="0" w:line="9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March 29, 2025, the Company recognized interest expense related to its debt of $32.8 million and $241.8 million, respectively. During the three and nine months ended March 30, 2024, the Company recognized interest expense related to its debt of $130.1 million and $241.0 million, respectively.</w:t>
      </w:r>
    </w:p>
    <w:p>
      <w:pPr>
        <w:spacing w:after="0" w:line="6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March 29, 2025, the Company recognized Loss on extinguishment of debt of $0.0 million and $120.1 million, respectively, primarily related to redemption premiums, as well as unamortized debt issuance costs and discounts, as a result of the redemption of the Capri Acquisition Senior Notes in the second quarter of fiscal 2025. There was no Loss on extinguishment of debt recognized by the Company during the three and nine months ended March 30,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Capri Holdings Limited Acquisition Related Debt Transactions: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finance the Capri Acquisition, on November 27, 2023, the Company issued $4.50 billion Capri Acquisition USD Senior Notes and €1.50 billion Capri Acquisition EUR Senior Notes which, together with the $1.40 billion of delayed draw Capri Acquisition Term Loan Facilities executed on August 30, 2023, completed the expected financing for the Capri Acquisition.</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13, 2024, the Parties entered into a Termination Agreement, pursuant to which it was agreed that the Merger Agreement was terminated, effective immediately. On November 25, 2024, due to the termination of the Merger Agreement and pursuant to the terms of the Indenture, the Company redeemed all outstanding Capri Acquisition Senior Notes at a redemption price of 101% of the aggregate principal amount of such Capri Acquisition USD Senior Notes and Capri Acquisition EUR Senior Notes, plus accrued and unpaid interest to, but excluding, the date of redemption. In addition, the Capri Acquisition Term Loan Credit Agreement was terminated concurrently with the execution of the Termination Agreement on November 13, 2024. Refer to Note 5, "Acquisitions and Divestitures," for further information. A summary of the Capri Holdings Limited acquisition debt related transactions is as follows: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Capri Acquisition Term Loan Facilities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30, 2023, the Company entered into a definitive credit agreement (such agreement, the "Capri Acquisition Term Loan Credit Agreement"), whereby Bank of America, N.A, as administrative agent, and the other agents party thereto, and a syndicate of banks and financial institutions committed to lend the Company, subject to the satisfaction or waiver of the conditions set forth in the Capri Acquisition Term Loan Credit Agreement, the Capri Acquisition Term Loan Facilities consisting of a $1.05 billion unsecured term loan facility maturing three years after the term loans thereunder are borrowed (the “Three-Year Term Loan Facility”) and a $350.0 million term loan facility maturing five years after the term loans thereunder are borrowed (the “Five-Year Term Loan Facility”). On November 13, 2024, the Capri Acquisition Term Loan Credit Agreement was terminated concurrently with the execution of the Termination Agreement.</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Capri Acquisition USD Senior Notes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27, 2023, the Company issued $4.50 billion aggregate principal amount of the Capri Acquisition USD Senior Notes, consisting of $500.0 million aggregate principal amount of 7.050% senior unsecured notes due November 27, 2025 at 99.890% of par (the “7.050% Senior Notes due 2025”), $750.0 million aggregate principal amount of 7.000% senior unsecured notes due November 27, 2026 at 99.803% of par (the “7.000% Senior Notes due 2026”), $1.00 billion aggregate principal amount of 7.350% senior unsecured notes due November 27, 2028 at 99.724% (the “7.350% Senior Notes due 2028”), $1.00 billion aggregate principal amount of 7.700% Senior Notes due November 27, 2030 at 99.712% of par (the “7.700% Senior Notes due 2030”) and $1.25 billion aggregate principal amount of our 7.850% Senior Notes due November 27, 2033 at 99.475% (the “7.850% Senior Notes due 2033").</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Due to the termination of the Merger Agreement, on November 25, 2024, the Company redeemed the Capri Acquisition USD Senior Notes with cash on hand at a redemption price equal to 101% of their principal amount. As a result of the redemption prior to their scheduled maturities, the Company was subject to a redemption premium of $45.0 million paid on the Capri Acquisition USD Senior Notes upon such redemption. Additionally, the Company recognized $41.2 million of unamortized debt issuance costs and discounts in connection with the redemption. These redemption premiums, as well as unamortized debt issuance costs and discounts, were recorded as a Loss on extinguishment of debt during the second quarter of fiscal 2025.</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Capri Acquisition EUR Senior Notes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27, 2023, the Company issued €1.50 billion aggregate principal amount of the Capri Acquisition EUR Senior Notes, consisting of €500.0 million aggregate principal amount of 5.350% senior unsecured notes due November 27, 2025 at 99.878% of par (the “5.350% EUR Senior Notes due 2025”), €500.0 million aggregate principal amount of 5.375% senior unsecured notes due November 27, 2027 at 99.723% of par (the 5.375% EUR Senior Notes due 2027”) and €500.0 million aggregate principal amount of our 5.875% senior unsecured notes due November 27, 2031 at 99.248% of par (the “5.875% EUR Senior Notes due 2031").</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Due to the termination of the Merger Agreement, on November 25, 2024, the Company redeemed the Capri Acquisition EUR Senior Notes with cash on hand at a redemption price equal to 101% of their principal amount. As a result of the redemption prior to their scheduled maturities, the Company was subject to a redemption premium of $16.2 million paid on the Capri Acquisition EUR Senior Notes upon such redemption. Additionally, the Company recognized $13.8 million of unamortized debt issuance costs and discounts in connection with the redemption. These redemption premiums, as well as unamortized debt issuance costs and discounts, were recorded as a Loss on extinguishment of debt during the second quarter of fiscal 2025.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Debt Transactions: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$2.00 Billion Revolving Credit Facility</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30, 2023, pursuant to that certain Amendment No. 1 to the Credit Agreement (the "Amendment"), the Company amended its Existing Credit Agreement (as defined below), originally dated as of May 11, 2022, among the Company, as borrower, certain of our subsidiaries, as guarantors, Bank of America, N.A., as administrative agent, and the financial institutions parties thereto as lenders (the "Existing Credit Agreement", and as amended by the Amendment, the "Amended Credit Agreement"). Under the Amended Credit Agreement, a syndicate of financial institutions and other lenders provided increases to the aggregate commitments to the revolving facility under the Existing Credit Agreement from $1.25 billion to $2.00 billion (the “Revolving Credit Facility”). The Revolving Credit Facility will mature on May 11, 2027.</w:t>
      </w:r>
    </w:p>
    <w:p>
      <w:pPr>
        <w:spacing w:after="0" w:line="7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 rate per annum equal to, at the Company’s option, (i) for borrowings in U.S. Dollars, either (a) an alternate base rate or (b) a rate based on the forward-looking SOFR term rate administered by CME Group Benchmark Administration Limited (or any successor administrator satisfactory to the administrative agent), (ii) for borrowings in Euros, the Euro Interbank Offered Rate, (iii) for borrowings in Pounds Sterling, the Sterling Overnight Index Average Reference Rate and (iv) for borrowings in Japanese Yen, the Tokyo Interbank Offer Rate, plus, in each case, an applicable margin. The applicable margin will be adjusted by reference to a grid (the “Pricing Grid”) based on the ratio of (a) consolidated debt to (b) consolidated EBITDAR. Additionally, the Company will pay facility fees, calculated at a rate per annum determined in accordance with the Pricing Grid, on the full amount of the Revolving Credit Facility, payable quarterly in arrears, and certain fees with respect to letters of credit that are issued. The Revolving Credit Facility may be used to finance the working capital needs, capital expenditures, permitted investments, share purchases, dividends and other general corporate purposes of the Company and its subsidiaries (which may include commercial paper backup). During the second quarter of fiscal 2025, the Company executed $1.00 billion of borrowings under the Revolving Credit Facility used to partially fund the share repurchases under the ASR Agreements and for general corporate purposes. Subsequently, on December 11, 2024, the Company issued $1.50 billion of senior unsecured notes (as defined below, the 2030 and 2035 Senior Notes) and the funds were partially used to repay the borrowings under the Revolving Credit Facility on December 11, 2024. On December 20, 2024, the Company entered into Amendment No. 2 to the Credit Agreement to update the definition of Consolidated EBITDAR to account for any extraordinary, unusual, infrequent or non-recurring costs, expenses or losses paid in cash during such period that are related to the Capri Acquisition. There were no outstanding borrowings on the Revolving Credit Facility as of March 29, 2025.</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Term Loan Credit Agreement</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2025, the Company entered into a $750.0 million senior unsecured term loan facility pursuant to the Term Loan Credit Agreement (the “Term Loan Credit Agreement”) with Bank of America, N.A., as administrative agent, and the lenders party thereto, and appointed BofA Securities, Inc. and Morgan Stanley Senior Lending, Inc. as joint lead arrangers and joint bookrunners, used to partially fund the share repurchases under the ASR Agreements, and for general corporate purposes. Borrowings under the Term Loan Credit Agreement bear interest at a rate per annum equal to, at the Company's option, (i) an alternative base rate or (ii) a rate based on the forward-looking SOFR term rate administered by CME Group Benchmark Administration Limited (or any successor administrator satisfactory to the administrative agent). On November 26, 2024, the Company drew down in full, the $750.0 million loan principal under the Term Loan Credit Agreement. The loan was due to mature six months after the date the loan was funded. Subsequently, the Company repaid the borrowings in two tranches with $250.0 million repaid on December 5, 2024 and $500.0 million repaid on December 11, 2024.</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2030 and 2035 Senior Notes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11, 2024, the Company issued $1.50 billion of senior unsecured notes, consisting of $750.0 million aggregate principal amount of 5.100% senior unsecured notes due March 11, 2030 at 99.876% of par (the “5.100% Senior Notes due 2030”) and $750.0 million aggregate principal amount of 5.500% senior unsecured notes due March 11, 2035 at 99.864% of par (the “5.500% Senior Notes due 2035”, together with the 5.100% Senior Notes due 2030, the "2030 and 2035 Senior Notes"). The net proceeds of this offering together with cash on hand, was used to repay the loans outstanding under the Term Loan Credit Agreement and to repay borrowings under the Revolving Credit Facility. The Company will pay interest semi-annually on the 2030 and 2035 Senior Notes on March 11 and September 11 of each year, commencing on September 11, 2025.</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Term Loan due 2027</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11, 2022, pursuant to the Existing Credit Agreement, the Company entered into an unsecured $500.0 million Term Loan (the “Term Loan due 2027”) which was scheduled to mature on May 11, 2027. The Term Loan due 2027 amortized in an amount equal to 5.000% per annum, with payments made quarterly. Borrowings under the Term Loan due 2027 bore interest at a rate per annum equal to, at the Company’s option, either (i) an alternate base rate or (ii) a term secured overnight financing rate plus, in each case, an applicable margin. The applicable margin would be adjusted by reference to a pricing grid based on the ratio (a) consolidated debt to (b) consolidated EBITDAR. The Company repaid its outstanding borrowings under the Term Loan due 2027 on May 31, 2024.</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2025, 2027, 2032 Senior Notes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March 2015, the Company issued $600.0 million aggregate principal amount of 4.250% senior unsecured notes due April 1, 2025 at 99.445% of par (the "4.250% Senior Notes due 2025"). In June 2017, the Company issued $600.0 million aggregate principal amount of 4.125% senior unsecured notes due July 15, 2027 at 99.858% of par (the 4.125% Senior Notes due 2027"). In December 2021, the Company completed a cash tender offer for $296.6 million and $203.4 million of the outstanding aggregate principal amount under its 4.250% Senior Notes due 2025 and 4.125% Senior Notes due 2027, respectively. In addition, in December 2021, the Company issued $500.0 million aggregate principal amount of 3.050% senior unsecured notes due March 15, 2032 at 99.705% of par (the "3.050% Senior Notes due 2032"). On April 1, 2025, the Company completed the redemption of $303.4 million remaining principal of the 4.250% Senior Notes due 2025. Refer to Note 17, "Subsequent Events" for further information.</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China Credit Facility</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20, 2024, the Company entered into a short-term credit facility (“China Credit Facility”) with Citibank, which may be used to fund general working capital needs, not to exceed 12 months, and is subject to annual renewal. The China Credit Facility provides the Company with a maximum facility amount of up to RMB 250.0 million (approximately $34 million), which includes a loan of up to RMB 85.0 million (approximately $12 million), a bank guarantee facility of up to RMB 15.0 million (approximately $2 million) and Accounts payable financing of up to RMB 150.0 million (approximately $20 million). As of March 29, 2025, the Company had RMB 120.0 million ($16.5 million) of borrowings outstanding under this facility, which was recorded within Current debt on the Company’s Condensed Consolidated Balance Sheets.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our debt facilities, we must comply with certain restrictions limiting the Company’s ability to among other things: (i) incur certain indebtedness, (ii) create certain liens, (iii) enter into certain sale and leaseback transactions, (iv) make certain investments or payments and (v) merge, or consolidate or transfer, sell or lease all or substantially all of the Company’s assets.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Amended Credit Agreement, we are required to comply on a quarterly basis with a maximum net leverage ratio of 4.00:1.00. As of March 29, 2025, we were in compliance with these restrictions and covenants, have met such financial ratios and have met all debt payment obligations.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Considerations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shows the estimated fair values of the senior unsecured notes at March 29, 2025 and June 29, 2024 based on external pricing data, including available quoted market prices of the instruments, and consideration of comparable debt instruments with similar interest rates and trading frequency, among other factors, and is classified as Level 2 measurements within the fair value hierarchy: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420" w:type="dxa"/>
            <w:vAlign w:val="bottom"/>
          </w:tcPr>
          <w:p>
            <w:pPr>
              <w:spacing w:after="0"/>
              <w:rPr>
                <w:sz w:val="17"/>
                <w:szCs w:val="17"/>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June 29,</w:t>
            </w:r>
          </w:p>
        </w:tc>
      </w:tr>
      <w:tr>
        <w:trPr>
          <w:trHeight w:val="241"/>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192"/>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7900" w:type="dxa"/>
            <w:vAlign w:val="bottom"/>
            <w:gridSpan w:val="5"/>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USD Senior Notes:</w:t>
            </w: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40" w:type="dxa"/>
            <w:vAlign w:val="bottom"/>
            <w:gridSpan w:val="2"/>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720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Senior Notes due 2025</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303.4</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r>
      <w:tr>
        <w:trPr>
          <w:trHeight w:val="229"/>
        </w:trPr>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7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r>
      <w:tr>
        <w:trPr>
          <w:trHeight w:val="229"/>
        </w:trPr>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7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2026</w:t>
            </w:r>
          </w:p>
        </w:tc>
        <w:tc>
          <w:tcPr>
            <w:tcW w:w="26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w:t>
            </w:r>
          </w:p>
        </w:tc>
      </w:tr>
      <w:tr>
        <w:trPr>
          <w:trHeight w:val="230"/>
        </w:trPr>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7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2027</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391.3</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r>
      <w:tr>
        <w:trPr>
          <w:trHeight w:val="229"/>
        </w:trPr>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7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26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1,036.5</w:t>
            </w:r>
          </w:p>
        </w:tc>
      </w:tr>
      <w:tr>
        <w:trPr>
          <w:trHeight w:val="230"/>
        </w:trPr>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7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2030</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749.7</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7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2030</w:t>
            </w:r>
          </w:p>
        </w:tc>
        <w:tc>
          <w:tcPr>
            <w:tcW w:w="26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1,042.9</w:t>
            </w:r>
          </w:p>
        </w:tc>
      </w:tr>
      <w:tr>
        <w:trPr>
          <w:trHeight w:val="230"/>
        </w:trPr>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7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2032</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431.3</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r>
      <w:tr>
        <w:trPr>
          <w:trHeight w:val="230"/>
        </w:trPr>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7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2033</w:t>
            </w:r>
          </w:p>
        </w:tc>
        <w:tc>
          <w:tcPr>
            <w:tcW w:w="26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w:t>
            </w:r>
          </w:p>
        </w:tc>
      </w:tr>
      <w:tr>
        <w:trPr>
          <w:trHeight w:val="229"/>
        </w:trPr>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7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2035</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740.0</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20" w:type="dxa"/>
            <w:vAlign w:val="bottom"/>
          </w:tcPr>
          <w:p>
            <w:pPr>
              <w:spacing w:after="0"/>
              <w:rPr>
                <w:sz w:val="16"/>
                <w:szCs w:val="16"/>
                <w:color w:val="auto"/>
              </w:rPr>
            </w:pPr>
          </w:p>
        </w:tc>
        <w:tc>
          <w:tcPr>
            <w:tcW w:w="79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EUR Senior Notes:</w:t>
            </w: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0"/>
        </w:trPr>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720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EUR Senior Notes due 2025</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w:t>
            </w:r>
          </w:p>
        </w:tc>
      </w:tr>
      <w:tr>
        <w:trPr>
          <w:trHeight w:val="230"/>
        </w:trPr>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720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EUR Senior Notes due 2027</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w:t>
            </w:r>
          </w:p>
        </w:tc>
      </w:tr>
      <w:tr>
        <w:trPr>
          <w:trHeight w:val="229"/>
        </w:trPr>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720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EUR Senior Notes due 2031</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w:t>
            </w:r>
          </w:p>
        </w:tc>
      </w:tr>
      <w:tr>
        <w:trPr>
          <w:trHeight w:val="175"/>
        </w:trPr>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spacing w:after="0" w:line="171" w:lineRule="exact"/>
        <w:rPr>
          <w:sz w:val="20"/>
          <w:szCs w:val="20"/>
          <w:color w:val="auto"/>
        </w:rPr>
      </w:pPr>
    </w:p>
    <w:p>
      <w:pPr>
        <w:ind w:left="340" w:hanging="332"/>
        <w:spacing w:after="0" w:line="229"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April 1, 2025, the Company completed the redemption of $303.4 million remaining principal of the 4.250% Senior Notes due 2025. Refer to Note 17, "Subsequent Events" for further information.</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values of the Capri Acquisition EUR Senior Notes include the impact of changes in the exchange rate of the United States Dollar against the Euro.</w:t>
      </w:r>
    </w:p>
    <w:p>
      <w:pPr>
        <w:spacing w:after="0" w:line="86" w:lineRule="exact"/>
        <w:rPr>
          <w:rFonts w:ascii="Times New Roman" w:cs="Times New Roman" w:eastAsia="Times New Roman" w:hAnsi="Times New Roman"/>
          <w:sz w:val="23"/>
          <w:szCs w:val="23"/>
          <w:color w:val="auto"/>
          <w:vertAlign w:val="superscript"/>
        </w:rPr>
      </w:pPr>
    </w:p>
    <w:p>
      <w:pPr>
        <w:ind w:left="360" w:hanging="271"/>
        <w:spacing w:after="0"/>
        <w:tabs>
          <w:tab w:leader="none" w:pos="36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categorizes its assets and liabilities, based on the priority of the inputs to the valuation technique, into a three-level fair value hierarchy as set forth below. The three levels of the hierarchy are defined as follows: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11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in Level 1. Level 2 inputs include quoted prices for identical assets or liabilities in non-active markets, quoted prices for similar assets or liabilities in active markets, and inputs other than quoted prices that are observable for substantially the full term of the asset or liability.</w:t>
      </w:r>
    </w:p>
    <w:p>
      <w:pPr>
        <w:spacing w:after="0" w:line="68"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Level 3 — Unobservable inputs reflecting management’s own assumptions about the input used in pricing the asset or liability. The Company does not have any Level 3 investments.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fair value measurements of the Company’s financial assets and liabilities at March 29, 2025 and June 29,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4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420" w:type="dxa"/>
            <w:vAlign w:val="bottom"/>
          </w:tcPr>
          <w:p>
            <w:pPr>
              <w:spacing w:after="0"/>
              <w:rPr>
                <w:sz w:val="14"/>
                <w:szCs w:val="14"/>
                <w:color w:val="auto"/>
              </w:rPr>
            </w:pPr>
          </w:p>
        </w:tc>
        <w:tc>
          <w:tcPr>
            <w:tcW w:w="1120" w:type="dxa"/>
            <w:vAlign w:val="bottom"/>
          </w:tcPr>
          <w:p>
            <w:pPr>
              <w:jc w:val="right"/>
              <w:ind w:right="331"/>
              <w:spacing w:after="0" w:line="169" w:lineRule="exact"/>
              <w:rPr>
                <w:sz w:val="20"/>
                <w:szCs w:val="20"/>
                <w:color w:val="auto"/>
              </w:rPr>
            </w:pPr>
            <w:r>
              <w:rPr>
                <w:rFonts w:ascii="Times New Roman" w:cs="Times New Roman" w:eastAsia="Times New Roman" w:hAnsi="Times New Roman"/>
                <w:sz w:val="18"/>
                <w:szCs w:val="18"/>
                <w:color w:val="auto"/>
              </w:rPr>
              <w:t>June 29,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400" w:type="dxa"/>
            <w:vAlign w:val="bottom"/>
          </w:tcPr>
          <w:p>
            <w:pPr>
              <w:spacing w:after="0"/>
              <w:rPr>
                <w:sz w:val="14"/>
                <w:szCs w:val="14"/>
                <w:color w:val="auto"/>
              </w:rPr>
            </w:pPr>
          </w:p>
        </w:tc>
        <w:tc>
          <w:tcPr>
            <w:tcW w:w="114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color w:val="auto"/>
              </w:rPr>
              <w:t>June 29,</w:t>
            </w:r>
          </w:p>
        </w:tc>
      </w:tr>
      <w:tr>
        <w:trPr>
          <w:trHeight w:val="241"/>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192"/>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6"/>
        </w:trPr>
        <w:tc>
          <w:tcPr>
            <w:tcW w:w="20" w:type="dxa"/>
            <w:vAlign w:val="bottom"/>
            <w:shd w:val="clear" w:color="auto" w:fill="CCEEFF"/>
          </w:tcPr>
          <w:p>
            <w:pPr>
              <w:spacing w:after="0"/>
              <w:rPr>
                <w:sz w:val="20"/>
                <w:szCs w:val="20"/>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06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208.6</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11.3</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10"/>
        </w:trPr>
        <w:tc>
          <w:tcPr>
            <w:tcW w:w="20" w:type="dxa"/>
            <w:vAlign w:val="bottom"/>
            <w:shd w:val="clear" w:color="auto" w:fill="CCEEFF"/>
          </w:tcPr>
          <w:p>
            <w:pPr>
              <w:spacing w:after="0"/>
              <w:rPr>
                <w:sz w:val="18"/>
                <w:szCs w:val="18"/>
                <w:color w:val="auto"/>
              </w:rPr>
            </w:pPr>
          </w:p>
        </w:tc>
        <w:tc>
          <w:tcPr>
            <w:tcW w:w="506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680" w:type="dxa"/>
            <w:vAlign w:val="bottom"/>
            <w:tcBorders>
              <w:top w:val="single" w:sz="8" w:color="auto"/>
            </w:tcBorders>
            <w:gridSpan w:val="3"/>
          </w:tcPr>
          <w:p>
            <w:pPr>
              <w:ind w:left="200"/>
              <w:spacing w:after="0" w:line="230" w:lineRule="exact"/>
              <w:rPr>
                <w:sz w:val="20"/>
                <w:szCs w:val="20"/>
                <w:color w:val="auto"/>
              </w:rPr>
            </w:pPr>
            <w:r>
              <w:rPr>
                <w:rFonts w:ascii="Times New Roman" w:cs="Times New Roman" w:eastAsia="Times New Roman" w:hAnsi="Times New Roman"/>
                <w:sz w:val="18"/>
                <w:szCs w:val="18"/>
                <w:color w:val="auto"/>
              </w:rPr>
              <w:t>Time deposits</w:t>
            </w:r>
            <w:r>
              <w:rPr>
                <w:rFonts w:ascii="Times New Roman" w:cs="Times New Roman" w:eastAsia="Times New Roman" w:hAnsi="Times New Roman"/>
                <w:sz w:val="23"/>
                <w:szCs w:val="23"/>
                <w:color w:val="auto"/>
                <w:vertAlign w:val="superscript"/>
              </w:rPr>
              <w:t>(2)</w:t>
            </w:r>
          </w:p>
        </w:tc>
        <w:tc>
          <w:tcPr>
            <w:tcW w:w="33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0.2</w:t>
            </w:r>
          </w:p>
        </w:tc>
        <w:tc>
          <w:tcPr>
            <w:tcW w:w="40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4"/>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w:t>
            </w:r>
          </w:p>
        </w:tc>
      </w:tr>
      <w:tr>
        <w:trPr>
          <w:trHeight w:val="229"/>
        </w:trPr>
        <w:tc>
          <w:tcPr>
            <w:tcW w:w="20" w:type="dxa"/>
            <w:vAlign w:val="bottom"/>
          </w:tcPr>
          <w:p>
            <w:pPr>
              <w:spacing w:after="0"/>
              <w:rPr>
                <w:sz w:val="19"/>
                <w:szCs w:val="19"/>
                <w:color w:val="auto"/>
              </w:rPr>
            </w:pPr>
          </w:p>
        </w:tc>
        <w:tc>
          <w:tcPr>
            <w:tcW w:w="5060" w:type="dxa"/>
            <w:vAlign w:val="bottom"/>
            <w:gridSpan w:val="4"/>
          </w:tcPr>
          <w:p>
            <w:pPr>
              <w:ind w:left="200"/>
              <w:spacing w:after="0" w:line="230" w:lineRule="exact"/>
              <w:rPr>
                <w:sz w:val="20"/>
                <w:szCs w:val="20"/>
                <w:color w:val="auto"/>
              </w:rPr>
            </w:pPr>
            <w:r>
              <w:rPr>
                <w:rFonts w:ascii="Times New Roman" w:cs="Times New Roman" w:eastAsia="Times New Roman" w:hAnsi="Times New Roman"/>
                <w:sz w:val="18"/>
                <w:szCs w:val="18"/>
                <w:color w:val="auto"/>
              </w:rPr>
              <w:t>Government securities - U.S.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0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19.1</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189"/>
        </w:trPr>
        <w:tc>
          <w:tcPr>
            <w:tcW w:w="20" w:type="dxa"/>
            <w:vAlign w:val="bottom"/>
          </w:tcPr>
          <w:p>
            <w:pPr>
              <w:spacing w:after="0"/>
              <w:rPr>
                <w:sz w:val="16"/>
                <w:szCs w:val="16"/>
                <w:color w:val="auto"/>
              </w:rPr>
            </w:pPr>
          </w:p>
        </w:tc>
        <w:tc>
          <w:tcPr>
            <w:tcW w:w="50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89"/>
        </w:trPr>
        <w:tc>
          <w:tcPr>
            <w:tcW w:w="20" w:type="dxa"/>
            <w:vAlign w:val="bottom"/>
          </w:tcPr>
          <w:p>
            <w:pPr>
              <w:spacing w:after="0"/>
              <w:rPr>
                <w:sz w:val="16"/>
                <w:szCs w:val="16"/>
                <w:color w:val="auto"/>
              </w:rPr>
            </w:pPr>
          </w:p>
        </w:tc>
        <w:tc>
          <w:tcPr>
            <w:tcW w:w="50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Derivative assets: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4"/>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Inventory-related instruments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18.0</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29"/>
        </w:trPr>
        <w:tc>
          <w:tcPr>
            <w:tcW w:w="20" w:type="dxa"/>
            <w:vAlign w:val="bottom"/>
          </w:tcPr>
          <w:p>
            <w:pPr>
              <w:spacing w:after="0"/>
              <w:rPr>
                <w:sz w:val="19"/>
                <w:szCs w:val="19"/>
                <w:color w:val="auto"/>
              </w:rPr>
            </w:pPr>
          </w:p>
        </w:tc>
        <w:tc>
          <w:tcPr>
            <w:tcW w:w="5060" w:type="dxa"/>
            <w:vAlign w:val="bottom"/>
            <w:gridSpan w:val="4"/>
          </w:tcPr>
          <w:p>
            <w:pPr>
              <w:ind w:left="200"/>
              <w:spacing w:after="0" w:line="230"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29.2</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4"/>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Intercompany loans and payables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20" w:type="dxa"/>
            <w:vAlign w:val="bottom"/>
          </w:tcPr>
          <w:p>
            <w:pPr>
              <w:spacing w:after="0"/>
              <w:rPr>
                <w:sz w:val="19"/>
                <w:szCs w:val="19"/>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89"/>
        </w:trPr>
        <w:tc>
          <w:tcPr>
            <w:tcW w:w="20" w:type="dxa"/>
            <w:vAlign w:val="bottom"/>
            <w:shd w:val="clear" w:color="auto" w:fill="CCEEFF"/>
          </w:tcPr>
          <w:p>
            <w:pPr>
              <w:spacing w:after="0"/>
              <w:rPr>
                <w:sz w:val="16"/>
                <w:szCs w:val="16"/>
                <w:color w:val="auto"/>
              </w:rPr>
            </w:pPr>
          </w:p>
        </w:tc>
        <w:tc>
          <w:tcPr>
            <w:tcW w:w="506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Derivative liabilities:</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4"/>
          </w:tcPr>
          <w:p>
            <w:pPr>
              <w:ind w:left="200"/>
              <w:spacing w:after="0" w:line="230" w:lineRule="exact"/>
              <w:rPr>
                <w:sz w:val="20"/>
                <w:szCs w:val="20"/>
                <w:color w:val="auto"/>
              </w:rPr>
            </w:pPr>
            <w:r>
              <w:rPr>
                <w:rFonts w:ascii="Times New Roman" w:cs="Times New Roman" w:eastAsia="Times New Roman" w:hAnsi="Times New Roman"/>
                <w:sz w:val="18"/>
                <w:szCs w:val="18"/>
                <w:color w:val="auto"/>
              </w:rPr>
              <w:t>Inventory-related instruments</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20" w:type="dxa"/>
            <w:vAlign w:val="bottom"/>
            <w:shd w:val="clear" w:color="auto" w:fill="CCEEFF"/>
          </w:tcPr>
          <w:p>
            <w:pPr>
              <w:spacing w:after="0"/>
              <w:rPr>
                <w:sz w:val="19"/>
                <w:szCs w:val="19"/>
                <w:color w:val="auto"/>
              </w:rPr>
            </w:pPr>
          </w:p>
        </w:tc>
        <w:tc>
          <w:tcPr>
            <w:tcW w:w="5060" w:type="dxa"/>
            <w:vAlign w:val="bottom"/>
            <w:gridSpan w:val="4"/>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152.2</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306"/>
        </w:trPr>
        <w:tc>
          <w:tcPr>
            <w:tcW w:w="20" w:type="dxa"/>
            <w:vAlign w:val="bottom"/>
          </w:tcPr>
          <w:p>
            <w:pPr>
              <w:spacing w:after="0"/>
              <w:rPr>
                <w:sz w:val="24"/>
                <w:szCs w:val="24"/>
                <w:color w:val="auto"/>
              </w:rPr>
            </w:pPr>
          </w:p>
        </w:tc>
        <w:tc>
          <w:tcPr>
            <w:tcW w:w="50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Intercompany loans and payables</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0.1</w:t>
            </w: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3798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371" w:lineRule="exact"/>
        <w:rPr>
          <w:sz w:val="20"/>
          <w:szCs w:val="20"/>
          <w:color w:val="auto"/>
        </w:rPr>
      </w:pPr>
    </w:p>
    <w:p>
      <w:pPr>
        <w:ind w:left="340" w:hanging="332"/>
        <w:spacing w:after="0" w:line="229" w:lineRule="auto"/>
        <w:tabs>
          <w:tab w:leader="none" w:pos="32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equivalents generally consists of money market funds and time deposits with maturities of three months or less at the date of purchase. Due to their short-term maturity, management believes that their carrying value approximates fair value.</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Short-term investments are recorded at fair value, which approximates their carrying value, and are primarily based upon quoted vendor or broker priced securities in active markets.</w:t>
      </w:r>
    </w:p>
    <w:p>
      <w:pPr>
        <w:spacing w:after="0" w:line="90" w:lineRule="exact"/>
        <w:rPr>
          <w:rFonts w:ascii="Times New Roman" w:cs="Times New Roman" w:eastAsia="Times New Roman" w:hAnsi="Times New Roman"/>
          <w:sz w:val="23"/>
          <w:szCs w:val="23"/>
          <w:color w:val="auto"/>
          <w:vertAlign w:val="superscript"/>
        </w:rPr>
      </w:pPr>
    </w:p>
    <w:p>
      <w:pPr>
        <w:ind w:left="340" w:right="20" w:hanging="332"/>
        <w:spacing w:after="0" w:line="229" w:lineRule="auto"/>
        <w:tabs>
          <w:tab w:leader="none" w:pos="32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 of these hedges is primarily based on the forward curves of the specific indices upon which settlement is based and includes an adjustment for the counterparty’s or Company’s credit risk.</w:t>
      </w:r>
    </w:p>
    <w:p>
      <w:pPr>
        <w:spacing w:after="0" w:line="90"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11, "Debt," for the fair value of the Company's outstanding debt instruments.</w:t>
      </w:r>
    </w:p>
    <w:p>
      <w:pPr>
        <w:spacing w:after="0" w:line="113"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Non-Financial Assets and Liabilities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non-financial instruments, which primarily consist of goodwill, intangible assets, right-of-use assets and property and equipment, are not required to be measured at fair value on a recurring basis and are reported at carrying value. However, on a periodic basis whenever events or changes in circumstances indicate that their carrying value may not be fully recoverable (and at least annually for goodwill and indefinite-lived intangible assets), non-financial instruments are assessed for impairment and, if applicable, written-down to and recorded at fair value, considering market participant assumptions.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March 29, 2025, the Company recorded $2.7 million of impairment charges to reduce the carrying amount of certain store assets within Property and equipment, net to their estimated fair values. There were no impairment charges recorded during the three and nine months ended March 30,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13. INVESTMENTS</w:t>
      </w:r>
    </w:p>
    <w:p>
      <w:pPr>
        <w:spacing w:after="0" w:line="121"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U.S. dollar-denominated investments, recorded within the Company's Condensed Consolidated Balance Sheets as of March 29, 2025 and June 29, 2024: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March 29, 2025</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June 29, 2024</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2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220"/>
              <w:spacing w:after="0" w:line="223" w:lineRule="exact"/>
              <w:rPr>
                <w:sz w:val="20"/>
                <w:szCs w:val="20"/>
                <w:color w:val="auto"/>
              </w:rPr>
            </w:pPr>
            <w:r>
              <w:rPr>
                <w:rFonts w:ascii="Times New Roman" w:cs="Times New Roman" w:eastAsia="Times New Roman" w:hAnsi="Times New Roman"/>
                <w:sz w:val="18"/>
                <w:szCs w:val="18"/>
                <w:b w:val="1"/>
                <w:bCs w:val="1"/>
                <w:color w:val="auto"/>
                <w:w w:val="95"/>
              </w:rPr>
              <w:t>Long-term</w:t>
            </w:r>
            <w:r>
              <w:rPr>
                <w:rFonts w:ascii="Times New Roman" w:cs="Times New Roman" w:eastAsia="Times New Roman" w:hAnsi="Times New Roman"/>
                <w:sz w:val="23"/>
                <w:szCs w:val="23"/>
                <w:b w:val="1"/>
                <w:bCs w:val="1"/>
                <w:color w:val="auto"/>
                <w:w w:val="95"/>
                <w:vertAlign w:val="superscript"/>
              </w:rPr>
              <w:t>(2)</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Short-term</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240"/>
              <w:spacing w:after="0" w:line="223" w:lineRule="exact"/>
              <w:rPr>
                <w:sz w:val="20"/>
                <w:szCs w:val="20"/>
                <w:color w:val="auto"/>
              </w:rPr>
            </w:pPr>
            <w:r>
              <w:rPr>
                <w:rFonts w:ascii="Times New Roman" w:cs="Times New Roman" w:eastAsia="Times New Roman" w:hAnsi="Times New Roman"/>
                <w:sz w:val="18"/>
                <w:szCs w:val="18"/>
                <w:color w:val="auto"/>
                <w:w w:val="96"/>
              </w:rPr>
              <w:t>Long-term</w:t>
            </w:r>
            <w:r>
              <w:rPr>
                <w:rFonts w:ascii="Times New Roman" w:cs="Times New Roman" w:eastAsia="Times New Roman" w:hAnsi="Times New Roman"/>
                <w:sz w:val="23"/>
                <w:szCs w:val="23"/>
                <w:color w:val="auto"/>
                <w:w w:val="96"/>
                <w:vertAlign w:val="superscript"/>
              </w:rPr>
              <w:t>(2)</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r>
      <w:tr>
        <w:trPr>
          <w:trHeight w:val="190"/>
        </w:trPr>
        <w:tc>
          <w:tcPr>
            <w:tcW w:w="2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6"/>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investments: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338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w:t>
            </w:r>
          </w:p>
        </w:tc>
      </w:tr>
      <w:tr>
        <w:trPr>
          <w:trHeight w:val="230"/>
        </w:trPr>
        <w:tc>
          <w:tcPr>
            <w:tcW w:w="338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Government securities - U.S.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r>
      <w:tr>
        <w:trPr>
          <w:trHeight w:val="196"/>
        </w:trPr>
        <w:tc>
          <w:tcPr>
            <w:tcW w:w="33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Available-for-sale investments, total</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1,043.4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1,043.4</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338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Time deposits</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3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1,063.1</w:t>
            </w:r>
          </w:p>
        </w:tc>
      </w:tr>
      <w:tr>
        <w:trPr>
          <w:trHeight w:val="21"/>
        </w:trPr>
        <w:tc>
          <w:tcPr>
            <w:tcW w:w="2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9"/>
        </w:trPr>
        <w:tc>
          <w:tcPr>
            <w:tcW w:w="2180" w:type="dxa"/>
            <w:vAlign w:val="bottom"/>
            <w:tcBorders>
              <w:bottom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41"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securities, as of period end, have maturity dates during their respective fiscal years and are recorded at fair value.</w:t>
      </w:r>
    </w:p>
    <w:p>
      <w:pPr>
        <w:spacing w:after="0" w:line="82" w:lineRule="exact"/>
        <w:rPr>
          <w:rFonts w:ascii="Times New Roman" w:cs="Times New Roman" w:eastAsia="Times New Roman" w:hAnsi="Times New Roman"/>
          <w:sz w:val="23"/>
          <w:szCs w:val="23"/>
          <w:color w:val="auto"/>
          <w:vertAlign w:val="superscript"/>
        </w:rPr>
      </w:pPr>
    </w:p>
    <w:p>
      <w:pPr>
        <w:ind w:left="320" w:hanging="312"/>
        <w:spacing w:after="0" w:line="219" w:lineRule="auto"/>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Long-term investments are presented within Other assets on the Condensed Consolidated Balance Sheets.</w:t>
      </w:r>
    </w:p>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a pre-tax gain of $0.0 million and $2.6 million on available-for-sale investments during the three and nine months ended March 29, 2025, respectively. These gains are included within Other expense (income) on the Condensed Consolidated Statements of Operations. Additionally, the Company has no material unrealized gains on available-for-sale investments as of March 29, 2025 included within Comprehensive income (loss) on the Condensed Consolidated Statements of Comprehensive Income (Loss).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material gross realized and unrealized gains or losses on available-for-sale investments as of the period ended June 29, 2024.</w:t>
      </w:r>
    </w:p>
    <w:p>
      <w:pPr>
        <w:spacing w:after="0" w:line="1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March 29, 2025, was 14.9% and 13.6%, respectively. The Company's effective tax rate for the three and nine months ended March 30, 2024, was 17.7% and 19.0%, respectively. The decrease in effective tax rate for the three and nine months ended March 29, 2025 as compared to the three and nine months ended March 30, 2024 was primarily due to discrete items recorded during the period, partially offset by geographic mix of earnings.</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Stuart Weitzman Business Divestiture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16, 2025, the Company entered into the Purchase Agreement pursuant to which the Company will sell the Stuart Weitzman Business. The transaction is expected to close in the summer of 2025, subject to customary closing conditions. Refer to Note 5, "Acquisitions and Divestitures" for further information.</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Capri Holdings Limited Merger Agreement</w:t>
      </w:r>
    </w:p>
    <w:p>
      <w:pPr>
        <w:spacing w:after="0" w:line="12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August 10, 2023, the Company entered into the Merger Agreement. On November 13, 2024, the Company entered into the Termination Agreement, pursuant to which the Merger Agreement was terminated, effective immediately. The Parties also agreed to release each other from claims, demands, damages, actions, causes of action and liability relating to or arising out of the Merger Agreement and the transactions contemplated therein or thereby. Refer to Note 5, "Acquisitions and Divestitures" for further information.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standby letters of credit, surety bonds and bank guarantees totaling $25.9 million and $28.4 million outstanding at March 29, 2025 and June 29, 2024, respectively. The agreements, which expire at various dates through fiscal year 2040, primarily collateralize the Company's obligation to third parties for duty, leases, insurance claims and materials used in product manufacturing. The Company pays certain fees with respect to these instruments that are issued.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had other contractual cash obligations as of March 29, 2025 related to debt repayments. Refer to Note 11, "Debt," for further information.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routine legal proceedings as both plaintiff and defendant incident to the ordinary course of its business, including proceedings to protect Tapestry's intellectual property rights, litigation instituted by persons alleged to have been injured by advertising claims or upon premises within the Company’s control, contractual disputes, insurance claims and litigation with present or former employees.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the Company's litigation can result in large monetary awards, such as when a civil jury is allowed to determine compensatory and/or punitive damages, the Company believes that the outcome of all pending legal proceedings in the aggregate will not have a material effect on the Company's business or condensed consolidated financial statements.</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23, 2024 and January 28, 2025, two separate putative securities class actions were filed by plaintiff shareholders in the United States District Court for the District of Delaware against Capri and certain of its officers and against Tapestry and certain of its officers, alleging that during the respective class periods (between August 10, 2023 and October 24, 2024), Capri and Tapestry misrepresented and failed to disclose adverse facts about Capri’s business, operations, market dynamics, and the prospects for approval of the Capri Acquisition, which were known to defendants or recklessly disregarded by them. The complaints, which each allege violations of sections 10(b) and 20(a) of the Securities Exchange Act of 1934 and rule 10b-5 promulgated thereunder, seek unspecified compensatory damages, costs and expenses, and equitable relief. The Company intends to vigorously defend itself in these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three reportable segments:</w:t>
      </w:r>
    </w:p>
    <w:p>
      <w:pPr>
        <w:spacing w:after="0" w:line="11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Coach </w:t>
      </w:r>
      <w:r>
        <w:rPr>
          <w:rFonts w:ascii="Times New Roman" w:cs="Times New Roman" w:eastAsia="Times New Roman" w:hAnsi="Times New Roman"/>
          <w:sz w:val="18"/>
          <w:szCs w:val="18"/>
          <w:color w:val="auto"/>
        </w:rPr>
        <w:t>- Includes global sales primarily of Coach brand products to customers through our DTC, wholesale and licensing businesses.</w:t>
      </w:r>
    </w:p>
    <w:p>
      <w:pPr>
        <w:spacing w:after="0" w:line="117"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Kate Spade </w:t>
      </w:r>
      <w:r>
        <w:rPr>
          <w:rFonts w:ascii="Times New Roman" w:cs="Times New Roman" w:eastAsia="Times New Roman" w:hAnsi="Times New Roman"/>
          <w:sz w:val="18"/>
          <w:szCs w:val="18"/>
          <w:color w:val="auto"/>
        </w:rPr>
        <w:t>- Includes global sales primarily of kate spade new york brand products to customers through our DTC, wholesale and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Stuart Weitzman - </w:t>
      </w:r>
      <w:r>
        <w:rPr>
          <w:rFonts w:ascii="Times New Roman" w:cs="Times New Roman" w:eastAsia="Times New Roman" w:hAnsi="Times New Roman"/>
          <w:sz w:val="18"/>
          <w:szCs w:val="18"/>
          <w:color w:val="auto"/>
        </w:rPr>
        <w:t>Includes global sales of Stuart Weitzman brand products primarily through our DTC, wholesale and licensing businesses.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16, 2025, the Company entered into the Purchase Agreement pursuant to which the Company will sell the Stuart Weitzman Business. The transaction is expected to close in the summer of 2025, subject to customary closing conditions. Refer to Note 5, "Acquisitions and Divestitures," for further information.</w:t>
      </w:r>
    </w:p>
    <w:p>
      <w:pPr>
        <w:spacing w:after="0" w:line="7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deciding how to allocate resources and assess performance, the Company's chief operating decision maker regularly evaluates operating profit of these segments. Segment operating profit is the gross profit of the segment less direct expenses of the segment. Total expenditures for additions to long-lived assets are not disclosed as this information is not regularly provided to the chief operating decision maker at the segment level.</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these reportable segments, the Company has certain corporate expenses that are not directly attributable to its brands ("Corporate expenses"); therefore, they are not allocated to its segments. Such costs primarily include certain overhead expenses related to corporate functions as well as certain administration, corporate occupancy, information technology and depreciation costs.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net sales of each of the Company's segments for the three and nine months ended March 29, 2025 and March 30, 2024: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3520" w:type="dxa"/>
            <w:vAlign w:val="bottom"/>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3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2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March 30, 2024</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2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March 30, 2024</w:t>
            </w:r>
          </w:p>
        </w:tc>
      </w:tr>
      <w:tr>
        <w:trPr>
          <w:trHeight w:val="190"/>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net sales:</w:t>
            </w: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Coach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4,173.4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3,844.9</w:t>
            </w: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Kate Spade</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r>
      <w:tr>
        <w:trPr>
          <w:trHeight w:val="230"/>
        </w:trPr>
        <w:tc>
          <w:tcPr>
            <w:tcW w:w="3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Stuart Weitzman</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48"/>
        </w:trPr>
        <w:tc>
          <w:tcPr>
            <w:tcW w:w="3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5,080.1</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segment operating profit of each of the Company's segments and reconciliation to Income (loss) before provision for income taxes for the three and nine months ended March 29, 2025 and March 30, 2024: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0"/>
                <w:szCs w:val="20"/>
                <w:color w:val="auto"/>
              </w:rPr>
            </w:pPr>
          </w:p>
        </w:tc>
        <w:tc>
          <w:tcPr>
            <w:tcW w:w="3500" w:type="dxa"/>
            <w:vAlign w:val="bottom"/>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2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March 30, 2024</w:t>
            </w:r>
          </w:p>
        </w:tc>
        <w:tc>
          <w:tcPr>
            <w:tcW w:w="1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2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March 30, 2024</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Coach</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420.1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1,427.6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Kate Spade</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Stuart Weitzman</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segment operating profit: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140"/>
              <w:spacing w:after="0" w:line="243" w:lineRule="exact"/>
              <w:rPr>
                <w:sz w:val="20"/>
                <w:szCs w:val="20"/>
                <w:color w:val="auto"/>
              </w:rPr>
            </w:pPr>
            <w:r>
              <w:rPr>
                <w:rFonts w:ascii="Times New Roman" w:cs="Times New Roman" w:eastAsia="Times New Roman" w:hAnsi="Times New Roman"/>
                <w:sz w:val="18"/>
                <w:szCs w:val="18"/>
                <w:color w:val="auto"/>
              </w:rPr>
              <w:t>Unallocated corporate expenses</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454.0</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Unallocated other charges, net</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156"/>
        </w:trPr>
        <w:tc>
          <w:tcPr>
            <w:tcW w:w="354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Income (loss) before provision for income</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239.1</w:t>
            </w:r>
          </w:p>
        </w:tc>
        <w:tc>
          <w:tcPr>
            <w:tcW w:w="10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810.1</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0" w:type="dxa"/>
            <w:vAlign w:val="bottom"/>
          </w:tcPr>
          <w:p>
            <w:pPr>
              <w:spacing w:after="0"/>
              <w:rPr>
                <w:sz w:val="1"/>
                <w:szCs w:val="1"/>
                <w:color w:val="auto"/>
              </w:rPr>
            </w:pPr>
          </w:p>
        </w:tc>
      </w:tr>
      <w:tr>
        <w:trPr>
          <w:trHeight w:val="221"/>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w:t>
            </w:r>
          </w:p>
        </w:tc>
        <w:tc>
          <w:tcPr>
            <w:tcW w:w="220" w:type="dxa"/>
            <w:vAlign w:val="bottom"/>
            <w:tcBorders>
              <w:bottom w:val="single" w:sz="8" w:color="auto"/>
            </w:tcBorders>
            <w:vMerge w:val="continue"/>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depreciation and amortization expense of each of the Company's segments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2025 and March 30, 2024: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00" w:type="dxa"/>
            <w:vAlign w:val="bottom"/>
            <w:gridSpan w:val="4"/>
          </w:tcPr>
          <w:p>
            <w:pPr>
              <w:ind w:lef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3540" w:type="dxa"/>
            <w:vAlign w:val="bottom"/>
            <w:gridSpan w:val="3"/>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190"/>
              <w:spacing w:after="0" w:line="223" w:lineRule="exact"/>
              <w:rPr>
                <w:sz w:val="20"/>
                <w:szCs w:val="20"/>
                <w:color w:val="auto"/>
              </w:rPr>
            </w:pPr>
            <w:r>
              <w:rPr>
                <w:rFonts w:ascii="Times New Roman" w:cs="Times New Roman" w:eastAsia="Times New Roman" w:hAnsi="Times New Roman"/>
                <w:sz w:val="18"/>
                <w:szCs w:val="18"/>
                <w:b w:val="1"/>
                <w:bCs w:val="1"/>
                <w:color w:val="auto"/>
              </w:rPr>
              <w:t>March 29, 2025</w:t>
            </w:r>
            <w:r>
              <w:rPr>
                <w:rFonts w:ascii="Times New Roman" w:cs="Times New Roman" w:eastAsia="Times New Roman" w:hAnsi="Times New Roman"/>
                <w:sz w:val="23"/>
                <w:szCs w:val="23"/>
                <w:b w:val="1"/>
                <w:bCs w:val="1"/>
                <w:color w:val="auto"/>
                <w:vertAlign w:val="superscript"/>
              </w:rPr>
              <w:t>(3)</w:t>
            </w:r>
          </w:p>
        </w:tc>
        <w:tc>
          <w:tcPr>
            <w:tcW w:w="30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March 30, 2024</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190"/>
              <w:spacing w:after="0" w:line="223" w:lineRule="exact"/>
              <w:rPr>
                <w:sz w:val="20"/>
                <w:szCs w:val="20"/>
                <w:color w:val="auto"/>
              </w:rPr>
            </w:pPr>
            <w:r>
              <w:rPr>
                <w:rFonts w:ascii="Times New Roman" w:cs="Times New Roman" w:eastAsia="Times New Roman" w:hAnsi="Times New Roman"/>
                <w:sz w:val="18"/>
                <w:szCs w:val="18"/>
                <w:b w:val="1"/>
                <w:bCs w:val="1"/>
                <w:color w:val="auto"/>
                <w:w w:val="96"/>
              </w:rPr>
              <w:t>March 29, 2025</w:t>
            </w:r>
            <w:r>
              <w:rPr>
                <w:rFonts w:ascii="Times New Roman" w:cs="Times New Roman" w:eastAsia="Times New Roman" w:hAnsi="Times New Roman"/>
                <w:sz w:val="23"/>
                <w:szCs w:val="23"/>
                <w:b w:val="1"/>
                <w:bCs w:val="1"/>
                <w:color w:val="auto"/>
                <w:w w:val="96"/>
                <w:vertAlign w:val="superscript"/>
              </w:rPr>
              <w:t>(3)</w:t>
            </w:r>
          </w:p>
        </w:tc>
        <w:tc>
          <w:tcPr>
            <w:tcW w:w="32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March 30, 2024</w:t>
            </w: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gridSpan w:val="2"/>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b w:val="1"/>
                <w:bCs w:val="1"/>
                <w:color w:val="auto"/>
              </w:rPr>
              <w:t>Depreciation and amortization expense</w:t>
            </w:r>
            <w:r>
              <w:rPr>
                <w:rFonts w:ascii="Times New Roman" w:cs="Times New Roman" w:eastAsia="Times New Roman" w:hAnsi="Times New Roman"/>
                <w:sz w:val="23"/>
                <w:szCs w:val="23"/>
                <w:b w:val="1"/>
                <w:bCs w:val="1"/>
                <w:color w:val="auto"/>
                <w:vertAlign w:val="superscript"/>
              </w:rPr>
              <w:t>(4)</w:t>
            </w: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Coach</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69.1</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Kate Spade</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w w:val="97"/>
              </w:rPr>
              <w:t>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9"/>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Stuart Weitzman</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300" w:type="dxa"/>
            <w:vAlign w:val="bottom"/>
          </w:tcPr>
          <w:p>
            <w:pPr>
              <w:spacing w:after="0"/>
              <w:rPr>
                <w:sz w:val="19"/>
                <w:szCs w:val="19"/>
                <w:color w:val="auto"/>
              </w:rPr>
            </w:pPr>
          </w:p>
        </w:tc>
        <w:tc>
          <w:tcPr>
            <w:tcW w:w="162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7"/>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Unallocated corporate</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164"/>
        </w:trPr>
        <w:tc>
          <w:tcPr>
            <w:tcW w:w="3540" w:type="dxa"/>
            <w:vAlign w:val="bottom"/>
            <w:gridSpan w:val="2"/>
          </w:tcPr>
          <w:p>
            <w:pPr>
              <w:ind w:left="360"/>
              <w:spacing w:after="0" w:line="164" w:lineRule="exact"/>
              <w:rPr>
                <w:sz w:val="20"/>
                <w:szCs w:val="20"/>
                <w:color w:val="auto"/>
              </w:rPr>
            </w:pPr>
            <w:r>
              <w:rPr>
                <w:rFonts w:ascii="Times New Roman" w:cs="Times New Roman" w:eastAsia="Times New Roman" w:hAnsi="Times New Roman"/>
                <w:sz w:val="18"/>
                <w:szCs w:val="18"/>
                <w:color w:val="auto"/>
              </w:rPr>
              <w:t>Total Depreciation and amortization</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4"/>
                <w:szCs w:val="14"/>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123.2</w:t>
            </w: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07"/>
        </w:trPr>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tcBorders>
              <w:bottom w:val="single" w:sz="8" w:color="auto"/>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expenses, which is not a reportable segment, represents certain expenses that are not directly attributable to its brands.</w:t>
      </w:r>
    </w:p>
    <w:p>
      <w:pPr>
        <w:spacing w:after="0" w:line="68" w:lineRule="exact"/>
        <w:rPr>
          <w:rFonts w:ascii="Times New Roman" w:cs="Times New Roman" w:eastAsia="Times New Roman" w:hAnsi="Times New Roman"/>
          <w:sz w:val="23"/>
          <w:szCs w:val="23"/>
          <w:color w:val="auto"/>
          <w:vertAlign w:val="superscript"/>
        </w:rPr>
      </w:pPr>
    </w:p>
    <w:p>
      <w:pPr>
        <w:ind w:left="260" w:hanging="252"/>
        <w:spacing w:after="0" w:line="231" w:lineRule="auto"/>
        <w:tabs>
          <w:tab w:leader="none" w:pos="26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Loss on extinguishment of debt, Interest expense, net and Other expense (income).</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39" w:lineRule="auto"/>
        <w:tabs>
          <w:tab w:leader="none" w:pos="269"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Depreciation and amortization expense includes $2.7 million of impairment charges in connection with the sale of the Stuart Weitzman Business for the three and nine months ended March 29, 2025 of which $2.1 million was recorded within Unallocated corporate and $0.6 million was recorded within the Stuart Weitzman segment. Depreciation and amortization expense includes $0.7 million of costs related to the Company's organizational efficiency efforts for the three and nine months ended March 29, 2025 recorded within Unallocated corporate.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Depreciation and amortization expense for the segments includes an allocation of expense related to assets which support multiple segments.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Redemption of 4.250% Senior Notes due 2025</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April 1, 2025, the Company completed the redemption of $303.4 million remaining principal of the 4.250% Senior Notes due 2025. Refer to Note 11, "Debt" for further information about the Company's outstanding debt.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ind w:left="18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of the Company's financial condition and results of operations should be read together with the Company's condensed consolidated financial statements and notes to those financial statements included elsewhere in this document. When used herein, the terms "the Company," "Tapestry," "we," "us" and "our" refer to Tapestry, Inc., including consolidated subsidiaries. References to "Coach," "Stuart Weitzman," "Kate Spade" or "kate spade new york" refer only to the referenced brand.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provided as a supplement to the accompanying consolidated financial statements and notes thereto to help provide an understanding of our results of operations, financial condition, and liquidity. MD&amp;A is organized as follows:</w:t>
      </w:r>
    </w:p>
    <w:p>
      <w:pPr>
        <w:spacing w:after="0" w:line="66" w:lineRule="exact"/>
        <w:rPr>
          <w:sz w:val="20"/>
          <w:szCs w:val="20"/>
          <w:color w:val="auto"/>
        </w:rPr>
      </w:pPr>
    </w:p>
    <w:p>
      <w:pPr>
        <w:ind w:left="580" w:hanging="248"/>
        <w:spacing w:after="0"/>
        <w:tabs>
          <w:tab w:leader="none" w:pos="5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provides a general description of the business and brands as well as the Company’s growth strategy.</w:t>
      </w:r>
    </w:p>
    <w:p>
      <w:pPr>
        <w:spacing w:after="0" w:line="117" w:lineRule="exact"/>
        <w:rPr>
          <w:rFonts w:ascii="Times New Roman" w:cs="Times New Roman" w:eastAsia="Times New Roman" w:hAnsi="Times New Roman"/>
          <w:sz w:val="18"/>
          <w:szCs w:val="18"/>
          <w:b w:val="1"/>
          <w:bCs w:val="1"/>
          <w:color w:val="auto"/>
        </w:rPr>
      </w:pPr>
    </w:p>
    <w:p>
      <w:pPr>
        <w:ind w:left="580" w:right="120" w:hanging="248"/>
        <w:spacing w:after="0" w:line="284" w:lineRule="auto"/>
        <w:tabs>
          <w:tab w:leader="none" w:pos="57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Global Economic Conditions and Industry Trends. </w:t>
      </w:r>
      <w:r>
        <w:rPr>
          <w:rFonts w:ascii="Times New Roman" w:cs="Times New Roman" w:eastAsia="Times New Roman" w:hAnsi="Times New Roman"/>
          <w:sz w:val="18"/>
          <w:szCs w:val="18"/>
          <w:color w:val="auto"/>
        </w:rPr>
        <w:t>This section includes a discussion on global economic conditions and industry trends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comparability that are important in understanding results of operations and financial conditions, and in anticipating future trends.</w:t>
      </w:r>
    </w:p>
    <w:p>
      <w:pPr>
        <w:spacing w:after="0" w:line="50" w:lineRule="exact"/>
        <w:rPr>
          <w:rFonts w:ascii="Times New Roman" w:cs="Times New Roman" w:eastAsia="Times New Roman" w:hAnsi="Times New Roman"/>
          <w:sz w:val="18"/>
          <w:szCs w:val="18"/>
          <w:b w:val="1"/>
          <w:bCs w:val="1"/>
          <w:color w:val="auto"/>
        </w:rPr>
      </w:pPr>
    </w:p>
    <w:p>
      <w:pPr>
        <w:ind w:left="580" w:right="120" w:hanging="248"/>
        <w:spacing w:after="0" w:line="284" w:lineRule="auto"/>
        <w:tabs>
          <w:tab w:leader="none" w:pos="57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An analysis of our results of operations in the third quarter of fiscal 2025 compared to the third quarter of fiscal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nine months of fiscal 2025 compared to the first nine months of fiscal 2024.</w:t>
      </w:r>
    </w:p>
    <w:p>
      <w:pPr>
        <w:spacing w:after="0" w:line="50" w:lineRule="exact"/>
        <w:rPr>
          <w:rFonts w:ascii="Times New Roman" w:cs="Times New Roman" w:eastAsia="Times New Roman" w:hAnsi="Times New Roman"/>
          <w:sz w:val="18"/>
          <w:szCs w:val="18"/>
          <w:b w:val="1"/>
          <w:bCs w:val="1"/>
          <w:color w:val="auto"/>
        </w:rPr>
      </w:pPr>
    </w:p>
    <w:p>
      <w:pPr>
        <w:jc w:val="both"/>
        <w:ind w:left="580" w:right="120" w:hanging="248"/>
        <w:spacing w:after="0" w:line="267" w:lineRule="auto"/>
        <w:tabs>
          <w:tab w:leader="none" w:pos="57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Non-GAAP Measures. </w:t>
      </w:r>
      <w:r>
        <w:rPr>
          <w:rFonts w:ascii="Times New Roman" w:cs="Times New Roman" w:eastAsia="Times New Roman" w:hAnsi="Times New Roman"/>
          <w:sz w:val="18"/>
          <w:szCs w:val="18"/>
          <w:color w:val="auto"/>
        </w:rPr>
        <w:t>This section includes non-GAAP measures that are useful to investors and others in evaluating the Company’s ongoing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and financial results in a manner that is consistent with management's evaluation of business performance and understanding how such results compare with the Company’s historical performance.</w:t>
      </w:r>
    </w:p>
    <w:p>
      <w:pPr>
        <w:spacing w:after="0" w:line="65" w:lineRule="exact"/>
        <w:rPr>
          <w:rFonts w:ascii="Times New Roman" w:cs="Times New Roman" w:eastAsia="Times New Roman" w:hAnsi="Times New Roman"/>
          <w:sz w:val="18"/>
          <w:szCs w:val="18"/>
          <w:b w:val="1"/>
          <w:bCs w:val="1"/>
          <w:color w:val="auto"/>
        </w:rPr>
      </w:pPr>
    </w:p>
    <w:p>
      <w:pPr>
        <w:ind w:left="580" w:right="120" w:hanging="248"/>
        <w:spacing w:after="0" w:line="284" w:lineRule="auto"/>
        <w:tabs>
          <w:tab w:leader="none" w:pos="57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Financial Condition. </w:t>
      </w:r>
      <w:r>
        <w:rPr>
          <w:rFonts w:ascii="Times New Roman" w:cs="Times New Roman" w:eastAsia="Times New Roman" w:hAnsi="Times New Roman"/>
          <w:sz w:val="18"/>
          <w:szCs w:val="18"/>
          <w:color w:val="auto"/>
        </w:rPr>
        <w:t>This section includes a discussion on liquidity and capital resources including an analysis of changes in cash flow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capital and capital expenditures.</w:t>
      </w:r>
    </w:p>
    <w:p>
      <w:pPr>
        <w:spacing w:after="0" w:line="50" w:lineRule="exact"/>
        <w:rPr>
          <w:rFonts w:ascii="Times New Roman" w:cs="Times New Roman" w:eastAsia="Times New Roman" w:hAnsi="Times New Roman"/>
          <w:sz w:val="18"/>
          <w:szCs w:val="18"/>
          <w:b w:val="1"/>
          <w:bCs w:val="1"/>
          <w:color w:val="auto"/>
        </w:rPr>
      </w:pPr>
    </w:p>
    <w:p>
      <w:pPr>
        <w:ind w:left="580" w:right="120" w:hanging="248"/>
        <w:spacing w:after="0" w:line="284" w:lineRule="auto"/>
        <w:tabs>
          <w:tab w:leader="none" w:pos="57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Critical Accounting Policies and Estimates. </w:t>
      </w:r>
      <w:r>
        <w:rPr>
          <w:rFonts w:ascii="Times New Roman" w:cs="Times New Roman" w:eastAsia="Times New Roman" w:hAnsi="Times New Roman"/>
          <w:sz w:val="18"/>
          <w:szCs w:val="18"/>
          <w:color w:val="auto"/>
        </w:rPr>
        <w:t>This section includes any material changes or updates to critical accounting policies or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the Annual Report on Form 10-K for fiscal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Tapestry, Inc. is a house of iconic accessories and lifestyle brands. Our global house of brands unites the magic of Coach, kate spade new york and Stuart Weitzman. Each of our brands is unique and independent, while sharing a commitment to innovation and authenticity defined by distinctive products and differentiated customer experiences across business channels and geographies. We use our collective strengths to move our customers and empower our communities, to make the fashion industry more sustainable and to build a company that’s equitable, inclusive and diverse. Individually, our brands are iconic. Together, we can stretch what’s possible.</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three reportable segments:</w:t>
      </w:r>
    </w:p>
    <w:p>
      <w:pPr>
        <w:spacing w:after="0" w:line="115" w:lineRule="exact"/>
        <w:rPr>
          <w:sz w:val="20"/>
          <w:szCs w:val="20"/>
          <w:color w:val="auto"/>
        </w:rPr>
      </w:pPr>
    </w:p>
    <w:p>
      <w:pPr>
        <w:ind w:left="580" w:hanging="248"/>
        <w:spacing w:after="0" w:line="284" w:lineRule="auto"/>
        <w:tabs>
          <w:tab w:leader="none" w:pos="57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Coach - </w:t>
      </w:r>
      <w:r>
        <w:rPr>
          <w:rFonts w:ascii="Times New Roman" w:cs="Times New Roman" w:eastAsia="Times New Roman" w:hAnsi="Times New Roman"/>
          <w:sz w:val="18"/>
          <w:szCs w:val="18"/>
          <w:color w:val="auto"/>
        </w:rPr>
        <w:t>Includes global sales of primarily Coach brand products to customers through our direct-to-consumer ("DTC"), wholesale and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w:t>
      </w:r>
    </w:p>
    <w:p>
      <w:pPr>
        <w:spacing w:after="0" w:line="50" w:lineRule="exact"/>
        <w:rPr>
          <w:rFonts w:ascii="Times New Roman" w:cs="Times New Roman" w:eastAsia="Times New Roman" w:hAnsi="Times New Roman"/>
          <w:sz w:val="18"/>
          <w:szCs w:val="18"/>
          <w:b w:val="1"/>
          <w:bCs w:val="1"/>
          <w:color w:val="auto"/>
        </w:rPr>
      </w:pPr>
    </w:p>
    <w:p>
      <w:pPr>
        <w:ind w:left="580" w:hanging="248"/>
        <w:spacing w:after="0" w:line="284" w:lineRule="auto"/>
        <w:tabs>
          <w:tab w:leader="none" w:pos="57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Kate Spade </w:t>
      </w:r>
      <w:r>
        <w:rPr>
          <w:rFonts w:ascii="Times New Roman" w:cs="Times New Roman" w:eastAsia="Times New Roman" w:hAnsi="Times New Roman"/>
          <w:sz w:val="18"/>
          <w:szCs w:val="18"/>
          <w:color w:val="auto"/>
        </w:rPr>
        <w:t>- Includes global sales primarily of kate spade new york brand products to customers through our DTC, wholesale and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w:t>
      </w:r>
    </w:p>
    <w:p>
      <w:pPr>
        <w:spacing w:after="0" w:line="50" w:lineRule="exact"/>
        <w:rPr>
          <w:rFonts w:ascii="Times New Roman" w:cs="Times New Roman" w:eastAsia="Times New Roman" w:hAnsi="Times New Roman"/>
          <w:sz w:val="18"/>
          <w:szCs w:val="18"/>
          <w:b w:val="1"/>
          <w:bCs w:val="1"/>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Stuart Weitzman - </w:t>
      </w:r>
      <w:r>
        <w:rPr>
          <w:rFonts w:ascii="Times New Roman" w:cs="Times New Roman" w:eastAsia="Times New Roman" w:hAnsi="Times New Roman"/>
          <w:sz w:val="18"/>
          <w:szCs w:val="18"/>
          <w:color w:val="auto"/>
        </w:rPr>
        <w:t>Includes global sales of Stuart Weitzman brand products primarily through our DTC, wholesale and licensing businesses.</w:t>
      </w:r>
    </w:p>
    <w:p>
      <w:pPr>
        <w:spacing w:after="0" w:line="119"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8"/>
          <w:szCs w:val="18"/>
          <w:color w:val="auto"/>
        </w:rPr>
        <w:t>Each of our brands is unique and independent, while sharing a commitment to innovation and authenticity defined by distinctive products and differentiated customer experiences across business channels and geographies. Our success does not depend solely on the performance of a single business channel, geographic area or brand.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6" w:name="page37"/>
    <w:bookmarkEnd w:id="36"/>
    <w:p>
      <w:pPr>
        <w:ind w:left="340"/>
        <w:spacing w:after="0"/>
        <w:rPr>
          <w:sz w:val="20"/>
          <w:szCs w:val="20"/>
          <w:color w:val="auto"/>
        </w:rPr>
      </w:pPr>
      <w:r>
        <w:rPr>
          <w:rFonts w:ascii="Times New Roman" w:cs="Times New Roman" w:eastAsia="Times New Roman" w:hAnsi="Times New Roman"/>
          <w:sz w:val="18"/>
          <w:szCs w:val="18"/>
          <w:b w:val="1"/>
          <w:bCs w:val="1"/>
          <w:color w:val="auto"/>
        </w:rPr>
        <w:t>Stuart Weitzman Business Divestiture</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16, 2025, the Company entered into a Purchase Agreement with Caleres pursuant to which the Company will sell the Stuart Weitzman Business (as defined below). The Purchaser will acquire certain assets and liabilities of the Company's global business of designing, manufacturing, promotion, marketing, production, distribution, sales and licensing of Stuart Weitzman branded products (the "Stuart Weitzman Business") for total cash consideration of $105.0 million (the "Purchase Price"). The Purchase Price will be subject to customary adjustments for cash, indebtedness, net working capital and transaction expenses. The transaction is expected to close in the summer of 2025, subject to customary closing conditions (the "Stuart Weitzman Business Divestiture"). Refer to Note 5, "Acquisitions and Divestitures," for further information.</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Capri Holdings Limited Acquisition</w:t>
      </w:r>
    </w:p>
    <w:p>
      <w:pPr>
        <w:spacing w:after="0" w:line="121"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On August 10, 2023, the Company entered into the Merger Agreement by and among the Company, Sunrise Merger Sub, Inc., a direct wholly owned subsidiary of Tapestry, and Capri. In order to finance the Capri Acquisition, on November 27, 2023, the Company issued $4.50 billion of U.S. dollar-denominated senior unsecured notes (the "Capri Acquisition USD Senior Notes") and €1.50 billion of Euro-denominated senior unsecured notes (the "Capri Acquisition EUR Senior Notes" and, together with the Capri Acquisition USD Senior Notes, the "Capri Acquisition Senior Notes") which, together with the $1.40 billion of delayed draw unsecured term loan facilities (the "Capri Acquisition Term Loan Facilities") executed on August 30, 2023, completed the expected financing for the Capri Acquisition. On April 22, 2024, the FTC filed a complaint against the Company and Capri in the United States District Court for the Southern District of New York seeking to enjoin the consummation of the Capri Acquisition, and on October 24, 2024, the Court issued its Opinion and Order granting the FTC's request for a preliminary injunction of the Merger, pending an administrative trial on the merits which was scheduled to begin on December 9, 2024. On October 28, 2024, the Company and Capri filed a Notice of Appeal with respect to the October 24, 2024 Opinion and Order. On November 6, 2024, the United States Court of Appeals for the Second Circuit entered an order setting an expedited briefing schedule for the appeal of the decision of the United States District Court of the Southern District of New York granting the preliminary injunction of the merger. On November 13, 2024, the Parties entered into a Termination Agreement (the “Termination Agreement”), pursuant to which the Parties agreed to terminate the Merger Agreement, including all schedules and exhibits thereto and all ancillary agreements contemplated thereby or entered pursuant thereto (the “Termination Date”), effective immediately. Pursuant to the Termination Agreement, the Company agreed to reimburse Capri for its expenses in an amount equal to $45.1 million in cash on November 14, 2024. The Parties also agreed to release each other from claims, demands, damages, actions, causes of action and liability relating to or arising out of the Merger Agreement and the transactions contemplated therein or thereby. Following termination of the Merger Agreement, the Parties and the FTC filed a stipulation withdrawing the appeal to the United States Court of Appeals for the Second Circuit on November 19, 2024 and the Second Circuit dismissed the appeal on November 20, 2024. The Parties and the FTC also filed a Joint Motion to dismiss the complaint in the administrative trial on November 15, 2024 and the FTC dismissed the complaint on December 4, 2024. On November 25, 2024, due to the termination of the Merger Agreement and pursuant to the terms of the indenture governing the Capri Acquisition Senior Notes, as supplemented, the Company redeemed all outstanding Capri Acquisition Senior Notes at a redemption price of 101% of the aggregate principal amount of such Capri Acquisition Senior Notes, plus accrued and unpaid interest to, but excluding, the date of redemption. In addition, the Capri Acquisition Term Loan Facilities were terminated concurrently with the execution of the Termination Agreement on November 13, 2024. Refer to Note 5, "Acquisitions and Divestitures" and Note 11, "Debt" for further information.</w:t>
      </w:r>
    </w:p>
    <w:p>
      <w:pPr>
        <w:spacing w:after="0" w:line="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2025 Growth Strategy</w:t>
      </w:r>
    </w:p>
    <w:p>
      <w:pPr>
        <w:spacing w:after="0" w:line="11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In the first quarter of fiscal 2023, the Company introduced the 2025 growth strategy (“</w:t>
      </w:r>
      <w:r>
        <w:rPr>
          <w:rFonts w:ascii="Times New Roman" w:cs="Times New Roman" w:eastAsia="Times New Roman" w:hAnsi="Times New Roman"/>
          <w:sz w:val="18"/>
          <w:szCs w:val="18"/>
          <w:i w:val="1"/>
          <w:iCs w:val="1"/>
          <w:color w:val="auto"/>
        </w:rPr>
        <w:t>future</w:t>
      </w:r>
      <w:r>
        <w:rPr>
          <w:rFonts w:ascii="Times New Roman" w:cs="Times New Roman" w:eastAsia="Times New Roman" w:hAnsi="Times New Roman"/>
          <w:sz w:val="18"/>
          <w:szCs w:val="18"/>
          <w:color w:val="auto"/>
        </w:rPr>
        <w:t>speed”), designed to amplify and extend the competitive advantages of its brands, with a focus on four strategic priorities:</w:t>
      </w:r>
    </w:p>
    <w:p>
      <w:pPr>
        <w:spacing w:after="0" w:line="52" w:lineRule="exact"/>
        <w:rPr>
          <w:sz w:val="20"/>
          <w:szCs w:val="20"/>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Building Lasting Customer Relationships: The Company’s brands aim to leverage Tapestry’s transformed business model to drive customer lifetime value through a combination of increased customer acquisition, retention and reactivation.</w:t>
      </w:r>
    </w:p>
    <w:p>
      <w:pPr>
        <w:spacing w:after="0" w:line="53" w:lineRule="exact"/>
        <w:rPr>
          <w:rFonts w:ascii="Times New Roman" w:cs="Times New Roman" w:eastAsia="Times New Roman" w:hAnsi="Times New Roman"/>
          <w:sz w:val="18"/>
          <w:szCs w:val="18"/>
          <w:b w:val="1"/>
          <w:bCs w:val="1"/>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Fueling Fashion Innovation &amp; Product Excellence: The Company aims to drive sustained growth in core handbags and small leathergoods, while accelerating gains in footwear and lifestyle products.</w:t>
      </w:r>
    </w:p>
    <w:p>
      <w:pPr>
        <w:spacing w:after="0" w:line="53"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Delivering Compelling Omni-Channel Experiences: The Company aims to extend its omni-channel leadership to meet the customer wherever they shop, delivering growth online and in stores.</w:t>
      </w:r>
    </w:p>
    <w:p>
      <w:pPr>
        <w:spacing w:after="0" w:line="53"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Powering Global Growth: The Company aims to support balanced growth across regions, prioritizing North America and China, its largest markets, while capitalizing on opportunities in under-penetrated geographies such as Southeast Asia and Europe.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GLOBAL ECONOMIC CONDITIONS AND INDUSTRY TRENDS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environment in which we operate is subject to a number of different factors driving global consumer spending. Consumer preferences, macroeconomic conditions, foreign currency fluctuations and geopolitical events continue to impact overall levels of consumer travel and spending on discretionary items, with inconsistent patterns across business channels and geographies.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continue to monitor the below trends and evaluate and adjust our operating strategies and cost management opportunities to mitigate the related impact on our results of operations, while remaining focused on the long-term growth of our business and protecting the value of our brands.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detailed discussion of significant risk factors that have the potential to cause our actual results to differ materially from our expectations, see Part I, Item 1A. "Risk Factors" herein and as disclosed in our Annual Report on Form 10-K for the year ended June 29, 2024.</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Current Macroeconomic Conditions and Outlook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Currency volatility, geopolitical instability and political uncertainty, such as the impact of policies implemented and that may be implemented by the U.S. Presidential Administration, including, but not limited to, changes to trade agreements, tax legislation or duty rates may also contribute to a worsening of the macroeconomic environment or adversely impact our business.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second half of fiscal 2025, the U.S. Government announced tariffs on imports from select countries. The majority of the Company's products sold in the U.S. are imported from countries in which these tariffs were announced. At the time of this report, the long-term impact which the tariffs or other trade policies may have on our business is uncertain as the outcome is dependent on global trade negotiations. As a result of the Company's actions to accelerate inventory purchases and based on current trends of the business, we do not expect a meaningful negative impact to our results of operations in fiscal 2025.</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However, there could be a material negative impact to our results of operations in fiscal 2026 and beyond depending on the outcome of trade negotiations. The Company is prepared to take actions to mitigate this negative impact as changes in trade relations, economic and monetary policies are made clear.</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macroeconomic environment remained challenging and volatile during the third quarter of fiscal 2025. Several organizations that monitor the world’s economy, including the International Monetary Fund, continue to forecast growth in the global economy. Some of these organizations have recently revised the forecast downwards since the second quarter of fiscal 2025. The forecast is below the historical growth average and is reflective of the current volatile environment, including escalation of trade tensions, tighter monetary and fiscal policies which have continued to moderate inflation, financial market volatility and the negative economic impacts of geopolitical instability in certain regions of the world.</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third quarter of fiscal 2025, the U.S. Dollar continued to fluctuate as compared to foreign currencies in regions where we conduct our business. This trend has resulted in impacts to our business including, but not limited to, for the three months ended March 29, 2025, decreased Net sales of $22.5 million, no impact to gross margin and approximately 20 basis point negative impact to operating margin. For the nine months ended March 29, 2025, decreased Net sales of $21.6 million, a positive impact to gross margin of approximately 10 basis points which benefited from the Company's hedging activity and no impact to operating margin.</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response to the current environment, the Company is closely monitoring changes and continues to take strategic actions considering near-term exigencies and remains committed to maintaining the health of the brands and business.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Legislation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of 2022 was signed into law, with tax provisions primarily focused on implementing a 15% CAMT on global adjusted financial statement income and a 1% excise tax on share repurchases. The CAMT was effective at the beginning of fiscal 2024 and did not have a material impact on the Company’s effective tax rate.</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12, 2022, the E.U. member states also reached an agreement to implement the OECD’s reform of international taxation known as GloBE, which broadly mirrors the Inflation Reduction Act by imposing a 15% global minimum tax on multinational companies. Based on the countries in which we do business that have enacted legislation effective January 1, 2025, we do not expect the impact of these changes to be material for fiscal 2025. A number of other countries are also implementing similar legislation with effective dates starting in 2026. As a result, we do expect a modest negative impact on the Company’s effective tax rate, however, this could change as other countries enact similar legislation and further guidance is released. We continue to closely monitor regulatory developments to assess potential impacts.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8" w:name="page39"/>
    <w:bookmarkEnd w:id="38"/>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results are typically affected by seasonal trends. During the first fiscal quarter, we typically build inventory for the winter and holiday season. In the second fiscal quarter, working capital requirements are reduced substantially as we generate higher net sales and operating income, especially during the holiday season.</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Fluctuations in net sales, operating income and operating cash flows of the Company in any fiscal quarter may be affected by the timing of wholesale shipments and other events affecting retail sales, including weather and macroeconomic events.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FISCAL 2025 COMPARED TO THIRD QUARTER FISCAL 2024</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results of operations for the third quarter of fiscal 2025 compared to the third quarter of fiscal 2024. All percentages shown in the table below and the discussion that follows have been calculated using unrounded numbers.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30, 2024</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color w:val="auto"/>
              </w:rPr>
              <w:t>Variance</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20" w:type="dxa"/>
            <w:vAlign w:val="bottom"/>
            <w:gridSpan w:val="2"/>
          </w:tcPr>
          <w:p>
            <w:pPr>
              <w:jc w:val="center"/>
              <w:ind w:right="100"/>
              <w:spacing w:after="0" w:line="199" w:lineRule="exact"/>
              <w:rPr>
                <w:sz w:val="20"/>
                <w:szCs w:val="20"/>
                <w:color w:val="auto"/>
              </w:rPr>
            </w:pPr>
            <w:r>
              <w:rPr>
                <w:rFonts w:ascii="Times New Roman" w:cs="Times New Roman" w:eastAsia="Times New Roman" w:hAnsi="Times New Roman"/>
                <w:sz w:val="18"/>
                <w:szCs w:val="18"/>
                <w:b w:val="1"/>
                <w:bCs w:val="1"/>
                <w:color w:val="auto"/>
              </w:rPr>
              <w:t>% of</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20"/>
              <w:spacing w:after="0" w:line="199" w:lineRule="exact"/>
              <w:rPr>
                <w:sz w:val="20"/>
                <w:szCs w:val="20"/>
                <w:color w:val="auto"/>
              </w:rPr>
            </w:pPr>
            <w:r>
              <w:rPr>
                <w:rFonts w:ascii="Times New Roman" w:cs="Times New Roman" w:eastAsia="Times New Roman" w:hAnsi="Times New Roman"/>
                <w:sz w:val="18"/>
                <w:szCs w:val="18"/>
                <w:color w:val="auto"/>
                <w:w w:val="98"/>
              </w:rPr>
              <w:t>% of</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240" w:type="dxa"/>
            <w:vAlign w:val="bottom"/>
          </w:tcPr>
          <w:p>
            <w:pPr>
              <w:spacing w:after="0"/>
              <w:rPr>
                <w:sz w:val="21"/>
                <w:szCs w:val="21"/>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spacing w:after="0"/>
              <w:rPr>
                <w:sz w:val="21"/>
                <w:szCs w:val="21"/>
                <w:color w:val="auto"/>
              </w:rPr>
            </w:pP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9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1,584.6</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1,482.4</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1,205.8</w:t>
            </w:r>
          </w:p>
        </w:tc>
        <w:tc>
          <w:tcPr>
            <w:tcW w:w="10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1,107.4</w:t>
            </w:r>
          </w:p>
        </w:tc>
        <w:tc>
          <w:tcPr>
            <w:tcW w:w="1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253.7</w:t>
            </w:r>
          </w:p>
        </w:tc>
        <w:tc>
          <w:tcPr>
            <w:tcW w:w="10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Pr>
          <w:p>
            <w:pPr>
              <w:spacing w:after="0"/>
              <w:rPr>
                <w:sz w:val="19"/>
                <w:szCs w:val="19"/>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203.3</w:t>
            </w:r>
          </w:p>
        </w:tc>
        <w:tc>
          <w:tcPr>
            <w:tcW w:w="10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0.98</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reported results are presented in accordance with accounting principles generally accepted in the United States of America ("GAAP"). The reported results during the third quarter of fiscal 2025 and fiscal 2024 reflect certain items which affect the comparability of our results, as noted in the following table. Refer to "Non-GAAP Measures" herein for further discussion on the Non-GAAP measures.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2025, we updated the title of the items affecting comparability related to "Acquisition Costs" to "Acquisition and Divestiture Costs" to capture the costs related to the terminated Capri Acquisition as well as the Stuart Weitzman Business Divestiture.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Third Quarter Fiscal 2025 Items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85"/>
        </w:trPr>
        <w:tc>
          <w:tcPr>
            <w:tcW w:w="100" w:type="dxa"/>
            <w:vAlign w:val="bottom"/>
            <w:tcBorders>
              <w:top w:val="single" w:sz="8" w:color="auto"/>
            </w:tcBorders>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9"/>
              </w:rPr>
              <w:t>Three Months Ended March 29, 2025</w:t>
            </w: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3"/>
        </w:trPr>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5"/>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9"/>
              </w:rPr>
              <w:t>Items Affecting Comparability</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169"/>
        </w:trPr>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GAAP Basis</w:t>
            </w:r>
          </w:p>
        </w:tc>
        <w:tc>
          <w:tcPr>
            <w:tcW w:w="140" w:type="dxa"/>
            <w:vAlign w:val="bottom"/>
          </w:tcPr>
          <w:p>
            <w:pPr>
              <w:spacing w:after="0"/>
              <w:rPr>
                <w:sz w:val="14"/>
                <w:szCs w:val="14"/>
                <w:color w:val="auto"/>
              </w:rPr>
            </w:pPr>
          </w:p>
        </w:tc>
        <w:tc>
          <w:tcPr>
            <w:tcW w:w="160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rPr>
              <w:t>Acquisition and</w:t>
            </w:r>
          </w:p>
        </w:tc>
        <w:tc>
          <w:tcPr>
            <w:tcW w:w="140" w:type="dxa"/>
            <w:vAlign w:val="bottom"/>
          </w:tcPr>
          <w:p>
            <w:pPr>
              <w:spacing w:after="0"/>
              <w:rPr>
                <w:sz w:val="14"/>
                <w:szCs w:val="14"/>
                <w:color w:val="auto"/>
              </w:rPr>
            </w:pPr>
          </w:p>
        </w:tc>
        <w:tc>
          <w:tcPr>
            <w:tcW w:w="15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Organizational</w:t>
            </w:r>
          </w:p>
        </w:tc>
        <w:tc>
          <w:tcPr>
            <w:tcW w:w="140" w:type="dxa"/>
            <w:vAlign w:val="bottom"/>
          </w:tcPr>
          <w:p>
            <w:pPr>
              <w:spacing w:after="0"/>
              <w:rPr>
                <w:sz w:val="14"/>
                <w:szCs w:val="14"/>
                <w:color w:val="auto"/>
              </w:rPr>
            </w:pPr>
          </w:p>
        </w:tc>
        <w:tc>
          <w:tcPr>
            <w:tcW w:w="160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Non-GAAP Basis</w:t>
            </w:r>
          </w:p>
        </w:tc>
      </w:tr>
      <w:tr>
        <w:trPr>
          <w:trHeight w:val="241"/>
        </w:trPr>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Divestiture Costs</w:t>
            </w: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Efficiency Costs</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(Excluding Items)</w:t>
            </w:r>
          </w:p>
        </w:tc>
      </w:tr>
      <w:tr>
        <w:trPr>
          <w:trHeight w:val="192"/>
        </w:trPr>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gridSpan w:val="5"/>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6"/>
        </w:trPr>
        <w:tc>
          <w:tcPr>
            <w:tcW w:w="100" w:type="dxa"/>
            <w:vAlign w:val="bottom"/>
          </w:tcPr>
          <w:p>
            <w:pPr>
              <w:spacing w:after="0"/>
              <w:rPr>
                <w:sz w:val="20"/>
                <w:szCs w:val="20"/>
                <w:color w:val="auto"/>
              </w:rPr>
            </w:pPr>
          </w:p>
        </w:tc>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420.1</w:t>
            </w:r>
          </w:p>
        </w:tc>
      </w:tr>
      <w:tr>
        <w:trPr>
          <w:trHeight w:val="230"/>
        </w:trPr>
        <w:tc>
          <w:tcPr>
            <w:tcW w:w="100" w:type="dxa"/>
            <w:vAlign w:val="bottom"/>
          </w:tcPr>
          <w:p>
            <w:pPr>
              <w:spacing w:after="0"/>
              <w:rPr>
                <w:sz w:val="19"/>
                <w:szCs w:val="19"/>
                <w:color w:val="auto"/>
              </w:rPr>
            </w:pPr>
          </w:p>
        </w:tc>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29"/>
        </w:trPr>
        <w:tc>
          <w:tcPr>
            <w:tcW w:w="100" w:type="dxa"/>
            <w:vAlign w:val="bottom"/>
          </w:tcPr>
          <w:p>
            <w:pPr>
              <w:spacing w:after="0"/>
              <w:rPr>
                <w:sz w:val="19"/>
                <w:szCs w:val="19"/>
                <w:color w:val="auto"/>
              </w:rPr>
            </w:pPr>
          </w:p>
        </w:tc>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29"/>
        </w:trPr>
        <w:tc>
          <w:tcPr>
            <w:tcW w:w="100" w:type="dxa"/>
            <w:vAlign w:val="bottom"/>
          </w:tcPr>
          <w:p>
            <w:pPr>
              <w:spacing w:after="0"/>
              <w:rPr>
                <w:sz w:val="19"/>
                <w:szCs w:val="19"/>
                <w:color w:val="auto"/>
              </w:rPr>
            </w:pPr>
          </w:p>
        </w:tc>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(140.6)</w:t>
            </w:r>
          </w:p>
        </w:tc>
      </w:tr>
      <w:tr>
        <w:trPr>
          <w:trHeight w:val="223"/>
        </w:trPr>
        <w:tc>
          <w:tcPr>
            <w:tcW w:w="100" w:type="dxa"/>
            <w:vAlign w:val="bottom"/>
          </w:tcPr>
          <w:p>
            <w:pPr>
              <w:spacing w:after="0"/>
              <w:rPr>
                <w:sz w:val="19"/>
                <w:szCs w:val="19"/>
                <w:color w:val="auto"/>
              </w:rPr>
            </w:pPr>
          </w:p>
        </w:tc>
        <w:tc>
          <w:tcPr>
            <w:tcW w:w="4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277.3</w:t>
            </w:r>
          </w:p>
        </w:tc>
      </w:tr>
      <w:tr>
        <w:trPr>
          <w:trHeight w:val="250"/>
        </w:trPr>
        <w:tc>
          <w:tcPr>
            <w:tcW w:w="100" w:type="dxa"/>
            <w:vAlign w:val="bottom"/>
          </w:tcPr>
          <w:p>
            <w:pPr>
              <w:spacing w:after="0"/>
              <w:rPr>
                <w:sz w:val="21"/>
                <w:szCs w:val="21"/>
                <w:color w:val="auto"/>
              </w:rPr>
            </w:pPr>
          </w:p>
        </w:tc>
        <w:tc>
          <w:tcPr>
            <w:tcW w:w="2400" w:type="dxa"/>
            <w:vAlign w:val="bottom"/>
            <w:tcBorders>
              <w:bottom w:val="single" w:sz="8" w:color="CCEEFF"/>
            </w:tcBorders>
          </w:tcPr>
          <w:p>
            <w:pPr>
              <w:spacing w:after="0"/>
              <w:rPr>
                <w:sz w:val="21"/>
                <w:szCs w:val="21"/>
                <w:color w:val="auto"/>
              </w:rPr>
            </w:pPr>
          </w:p>
        </w:tc>
        <w:tc>
          <w:tcPr>
            <w:tcW w:w="20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r>
      <w:tr>
        <w:trPr>
          <w:trHeight w:val="223"/>
        </w:trPr>
        <w:tc>
          <w:tcPr>
            <w:tcW w:w="100" w:type="dxa"/>
            <w:vAlign w:val="bottom"/>
          </w:tcPr>
          <w:p>
            <w:pPr>
              <w:spacing w:after="0"/>
              <w:rPr>
                <w:sz w:val="19"/>
                <w:szCs w:val="19"/>
                <w:color w:val="auto"/>
              </w:rPr>
            </w:pPr>
          </w:p>
        </w:tc>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219.8</w:t>
            </w:r>
          </w:p>
        </w:tc>
      </w:tr>
      <w:tr>
        <w:trPr>
          <w:trHeight w:val="223"/>
        </w:trPr>
        <w:tc>
          <w:tcPr>
            <w:tcW w:w="100" w:type="dxa"/>
            <w:vAlign w:val="bottom"/>
          </w:tcPr>
          <w:p>
            <w:pPr>
              <w:spacing w:after="0"/>
              <w:rPr>
                <w:sz w:val="19"/>
                <w:szCs w:val="19"/>
                <w:color w:val="auto"/>
              </w:rPr>
            </w:pPr>
          </w:p>
        </w:tc>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diluted common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r>
      <w:tr>
        <w:trPr>
          <w:trHeight w:val="21"/>
        </w:trPr>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third quarter of fiscal 2025, the Company incurred charges as follows:</w:t>
      </w:r>
    </w:p>
    <w:p>
      <w:pPr>
        <w:spacing w:after="0" w:line="115" w:lineRule="exact"/>
        <w:rPr>
          <w:sz w:val="20"/>
          <w:szCs w:val="20"/>
          <w:color w:val="auto"/>
        </w:rPr>
      </w:pPr>
    </w:p>
    <w:p>
      <w:pPr>
        <w:ind w:left="660" w:hanging="328"/>
        <w:spacing w:after="0" w:line="284" w:lineRule="auto"/>
        <w:tabs>
          <w:tab w:leader="none" w:pos="655"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Acquisition and Divestiture Costs </w:t>
      </w:r>
      <w:r>
        <w:rPr>
          <w:rFonts w:ascii="Times New Roman" w:cs="Times New Roman" w:eastAsia="Times New Roman" w:hAnsi="Times New Roman"/>
          <w:sz w:val="18"/>
          <w:szCs w:val="18"/>
          <w:color w:val="auto"/>
        </w:rPr>
        <w:t>- Total pre-tax charges of $18.6 million primarily due to the loss on business held for sale, store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fees and share-based compensation expense related to the Stuart Weitzman Business Divestiture.</w:t>
      </w:r>
    </w:p>
    <w:p>
      <w:pPr>
        <w:spacing w:after="0" w:line="50"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Organizational Efficiency Costs </w:t>
      </w:r>
      <w:r>
        <w:rPr>
          <w:rFonts w:ascii="Times New Roman" w:cs="Times New Roman" w:eastAsia="Times New Roman" w:hAnsi="Times New Roman"/>
          <w:sz w:val="18"/>
          <w:szCs w:val="18"/>
          <w:color w:val="auto"/>
        </w:rPr>
        <w:t>- Total pre-tax charges of $5.0 million primarily related to severance costs and technology costs.</w:t>
      </w:r>
    </w:p>
    <w:p>
      <w:pPr>
        <w:spacing w:after="0" w:line="119" w:lineRule="exact"/>
        <w:rPr>
          <w:sz w:val="20"/>
          <w:szCs w:val="20"/>
          <w:color w:val="auto"/>
        </w:rPr>
      </w:pPr>
    </w:p>
    <w:p>
      <w:pPr>
        <w:ind w:firstLine="198"/>
        <w:spacing w:after="0" w:line="282" w:lineRule="auto"/>
        <w:rPr>
          <w:sz w:val="20"/>
          <w:szCs w:val="20"/>
          <w:color w:val="auto"/>
        </w:rPr>
      </w:pPr>
      <w:r>
        <w:rPr>
          <w:rFonts w:ascii="Times New Roman" w:cs="Times New Roman" w:eastAsia="Times New Roman" w:hAnsi="Times New Roman"/>
          <w:sz w:val="18"/>
          <w:szCs w:val="18"/>
          <w:color w:val="auto"/>
        </w:rPr>
        <w:t>These actions taken together negatively impacted operating income by $23.6 million and reduced the provision for income tax by $7.1 million resulting in a net decrease in net income by $16.5 million or $0.08 per diluted share.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Segment Data</w:t>
      </w:r>
    </w:p>
    <w:p>
      <w:pPr>
        <w:spacing w:after="0" w:line="158"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8"/>
          <w:szCs w:val="18"/>
          <w:b w:val="1"/>
          <w:bCs w:val="1"/>
          <w:color w:val="auto"/>
        </w:rPr>
        <w:t>Three Months Ended March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19685</wp:posOffset>
            </wp:positionV>
            <wp:extent cx="41833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16"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8"/>
          <w:szCs w:val="18"/>
          <w:b w:val="1"/>
          <w:bCs w:val="1"/>
          <w:color w:val="auto"/>
        </w:rPr>
        <w:t>Items Affecting Comparability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19685</wp:posOffset>
            </wp:positionV>
            <wp:extent cx="41833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GAAP Basis</w:t>
            </w:r>
          </w:p>
        </w:tc>
        <w:tc>
          <w:tcPr>
            <w:tcW w:w="1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Acquisition and</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Organizational</w:t>
            </w:r>
          </w:p>
        </w:tc>
        <w:tc>
          <w:tcPr>
            <w:tcW w:w="14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Non-GAAP Basis</w:t>
            </w:r>
          </w:p>
        </w:tc>
      </w:tr>
      <w:tr>
        <w:trPr>
          <w:trHeight w:val="241"/>
        </w:trPr>
        <w:tc>
          <w:tcPr>
            <w:tcW w:w="1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14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Divestiture Costs</w:t>
            </w: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Efficiency Costs</w:t>
            </w:r>
          </w:p>
        </w:tc>
        <w:tc>
          <w:tcPr>
            <w:tcW w:w="14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(Excluding Items)</w:t>
            </w:r>
          </w:p>
        </w:tc>
      </w:tr>
      <w:tr>
        <w:trPr>
          <w:trHeight w:val="192"/>
        </w:trPr>
        <w:tc>
          <w:tcPr>
            <w:tcW w:w="1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240" w:type="dxa"/>
            <w:vAlign w:val="bottom"/>
            <w:tcBorders>
              <w:top w:val="single" w:sz="8" w:color="auto"/>
            </w:tcBorders>
            <w:gridSpan w:val="5"/>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6"/>
        </w:trPr>
        <w:tc>
          <w:tcPr>
            <w:tcW w:w="100" w:type="dxa"/>
            <w:vAlign w:val="bottom"/>
          </w:tcPr>
          <w:p>
            <w:pPr>
              <w:spacing w:after="0"/>
              <w:rPr>
                <w:sz w:val="20"/>
                <w:szCs w:val="20"/>
                <w:color w:val="auto"/>
              </w:rPr>
            </w:pP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598.4</w:t>
            </w:r>
          </w:p>
        </w:tc>
        <w:tc>
          <w:tcPr>
            <w:tcW w:w="80" w:type="dxa"/>
            <w:vAlign w:val="bottom"/>
          </w:tcPr>
          <w:p>
            <w:pPr>
              <w:spacing w:after="0"/>
              <w:rPr>
                <w:sz w:val="20"/>
                <w:szCs w:val="20"/>
                <w:color w:val="auto"/>
              </w:rPr>
            </w:pPr>
          </w:p>
        </w:tc>
      </w:tr>
      <w:tr>
        <w:trPr>
          <w:trHeight w:val="230"/>
        </w:trPr>
        <w:tc>
          <w:tcPr>
            <w:tcW w:w="10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160.4</w:t>
            </w:r>
          </w:p>
        </w:tc>
        <w:tc>
          <w:tcPr>
            <w:tcW w:w="80" w:type="dxa"/>
            <w:vAlign w:val="bottom"/>
          </w:tcPr>
          <w:p>
            <w:pPr>
              <w:spacing w:after="0"/>
              <w:rPr>
                <w:sz w:val="19"/>
                <w:szCs w:val="19"/>
                <w:color w:val="auto"/>
              </w:rPr>
            </w:pPr>
          </w:p>
        </w:tc>
      </w:tr>
      <w:tr>
        <w:trPr>
          <w:trHeight w:val="229"/>
        </w:trPr>
        <w:tc>
          <w:tcPr>
            <w:tcW w:w="100" w:type="dxa"/>
            <w:vAlign w:val="bottom"/>
          </w:tcPr>
          <w:p>
            <w:pPr>
              <w:spacing w:after="0"/>
              <w:rPr>
                <w:sz w:val="19"/>
                <w:szCs w:val="19"/>
                <w:color w:val="auto"/>
              </w:rPr>
            </w:pP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80" w:type="dxa"/>
            <w:vAlign w:val="bottom"/>
          </w:tcPr>
          <w:p>
            <w:pPr>
              <w:spacing w:after="0"/>
              <w:rPr>
                <w:sz w:val="19"/>
                <w:szCs w:val="19"/>
                <w:color w:val="auto"/>
              </w:rPr>
            </w:pPr>
          </w:p>
        </w:tc>
      </w:tr>
      <w:tr>
        <w:trPr>
          <w:trHeight w:val="230"/>
        </w:trPr>
        <w:tc>
          <w:tcPr>
            <w:tcW w:w="100" w:type="dxa"/>
            <w:vAlign w:val="bottom"/>
          </w:tcPr>
          <w:p>
            <w:pPr>
              <w:spacing w:after="0"/>
              <w:rPr>
                <w:sz w:val="19"/>
                <w:szCs w:val="19"/>
                <w:color w:val="auto"/>
              </w:rPr>
            </w:pPr>
          </w:p>
        </w:tc>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140.6</w:t>
            </w:r>
          </w:p>
        </w:tc>
        <w:tc>
          <w:tcPr>
            <w:tcW w:w="80" w:type="dxa"/>
            <w:vAlign w:val="bottom"/>
          </w:tcPr>
          <w:p>
            <w:pPr>
              <w:spacing w:after="0"/>
              <w:rPr>
                <w:sz w:val="19"/>
                <w:szCs w:val="19"/>
                <w:color w:val="auto"/>
              </w:rPr>
            </w:pPr>
          </w:p>
        </w:tc>
      </w:tr>
      <w:tr>
        <w:trPr>
          <w:trHeight w:val="248"/>
        </w:trPr>
        <w:tc>
          <w:tcPr>
            <w:tcW w:w="10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SG&amp;A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928.5</w:t>
            </w:r>
          </w:p>
        </w:tc>
        <w:tc>
          <w:tcPr>
            <w:tcW w:w="80" w:type="dxa"/>
            <w:vAlign w:val="bottom"/>
          </w:tcPr>
          <w:p>
            <w:pPr>
              <w:spacing w:after="0"/>
              <w:rPr>
                <w:sz w:val="21"/>
                <w:szCs w:val="21"/>
                <w:color w:val="auto"/>
              </w:rPr>
            </w:pPr>
          </w:p>
        </w:tc>
      </w:tr>
      <w:tr>
        <w:trPr>
          <w:trHeight w:val="20"/>
        </w:trPr>
        <w:tc>
          <w:tcPr>
            <w:tcW w:w="10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25"/>
        </w:trPr>
        <w:tc>
          <w:tcPr>
            <w:tcW w:w="1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0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 Quarter Fiscal 2024 Items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85"/>
        </w:trPr>
        <w:tc>
          <w:tcPr>
            <w:tcW w:w="4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gridSpan w:val="7"/>
          </w:tcPr>
          <w:p>
            <w:pPr>
              <w:jc w:val="right"/>
              <w:ind w:right="1210"/>
              <w:spacing w:after="0"/>
              <w:rPr>
                <w:sz w:val="20"/>
                <w:szCs w:val="20"/>
                <w:color w:val="auto"/>
              </w:rPr>
            </w:pPr>
            <w:r>
              <w:rPr>
                <w:rFonts w:ascii="Times New Roman" w:cs="Times New Roman" w:eastAsia="Times New Roman" w:hAnsi="Times New Roman"/>
                <w:sz w:val="18"/>
                <w:szCs w:val="18"/>
                <w:color w:val="auto"/>
              </w:rPr>
              <w:t>Three Months Ended March 30, 2024</w:t>
            </w:r>
          </w:p>
        </w:tc>
      </w:tr>
      <w:tr>
        <w:trPr>
          <w:trHeight w:val="223"/>
        </w:trPr>
        <w:tc>
          <w:tcPr>
            <w:tcW w:w="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gridSpan w:val="7"/>
          </w:tcPr>
          <w:p>
            <w:pPr>
              <w:jc w:val="right"/>
              <w:ind w:right="1450"/>
              <w:spacing w:after="0"/>
              <w:rPr>
                <w:sz w:val="20"/>
                <w:szCs w:val="20"/>
                <w:color w:val="auto"/>
              </w:rPr>
            </w:pPr>
            <w:r>
              <w:rPr>
                <w:rFonts w:ascii="Times New Roman" w:cs="Times New Roman" w:eastAsia="Times New Roman" w:hAnsi="Times New Roman"/>
                <w:sz w:val="18"/>
                <w:szCs w:val="18"/>
                <w:color w:val="auto"/>
              </w:rPr>
              <w:t>Items Affecting Comparability</w:t>
            </w:r>
          </w:p>
        </w:tc>
      </w:tr>
      <w:tr>
        <w:trPr>
          <w:trHeight w:val="169"/>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color w:val="auto"/>
              </w:rPr>
              <w:t>GAAP Basis</w:t>
            </w: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Non-GAAP Basis</w:t>
            </w:r>
          </w:p>
        </w:tc>
      </w:tr>
      <w:tr>
        <w:trPr>
          <w:trHeight w:val="243"/>
        </w:trPr>
        <w:tc>
          <w:tcPr>
            <w:tcW w:w="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(As Reported)</w:t>
            </w: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Acquisition Costs</w:t>
            </w: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(Excluding Items)</w:t>
            </w:r>
          </w:p>
        </w:tc>
      </w:tr>
      <w:tr>
        <w:trPr>
          <w:trHeight w:val="189"/>
        </w:trPr>
        <w:tc>
          <w:tcPr>
            <w:tcW w:w="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(millions, except per share data)</w:t>
            </w:r>
          </w:p>
        </w:tc>
        <w:tc>
          <w:tcPr>
            <w:tcW w:w="1620" w:type="dxa"/>
            <w:vAlign w:val="bottom"/>
          </w:tcPr>
          <w:p>
            <w:pPr>
              <w:spacing w:after="0"/>
              <w:rPr>
                <w:sz w:val="16"/>
                <w:szCs w:val="16"/>
                <w:color w:val="auto"/>
              </w:rPr>
            </w:pPr>
          </w:p>
        </w:tc>
      </w:tr>
      <w:tr>
        <w:trPr>
          <w:trHeight w:val="237"/>
        </w:trPr>
        <w:tc>
          <w:tcPr>
            <w:tcW w:w="40" w:type="dxa"/>
            <w:vAlign w:val="bottom"/>
          </w:tcPr>
          <w:p>
            <w:pPr>
              <w:spacing w:after="0"/>
              <w:rPr>
                <w:sz w:val="20"/>
                <w:szCs w:val="20"/>
                <w:color w:val="auto"/>
              </w:rPr>
            </w:pP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r>
      <w:tr>
        <w:trPr>
          <w:trHeight w:val="230"/>
        </w:trPr>
        <w:tc>
          <w:tcPr>
            <w:tcW w:w="40" w:type="dxa"/>
            <w:vAlign w:val="bottom"/>
          </w:tcPr>
          <w:p>
            <w:pPr>
              <w:spacing w:after="0"/>
              <w:rPr>
                <w:sz w:val="19"/>
                <w:szCs w:val="19"/>
                <w:color w:val="auto"/>
              </w:rPr>
            </w:pP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40" w:type="dxa"/>
            <w:vAlign w:val="bottom"/>
          </w:tcPr>
          <w:p>
            <w:pPr>
              <w:spacing w:after="0"/>
              <w:rPr>
                <w:sz w:val="19"/>
                <w:szCs w:val="19"/>
                <w:color w:val="auto"/>
              </w:rPr>
            </w:pP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40" w:type="dxa"/>
            <w:vAlign w:val="bottom"/>
          </w:tcPr>
          <w:p>
            <w:pPr>
              <w:spacing w:after="0"/>
              <w:rPr>
                <w:sz w:val="19"/>
                <w:szCs w:val="19"/>
                <w:color w:val="auto"/>
              </w:rPr>
            </w:pPr>
          </w:p>
        </w:tc>
        <w:tc>
          <w:tcPr>
            <w:tcW w:w="5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23"/>
        </w:trPr>
        <w:tc>
          <w:tcPr>
            <w:tcW w:w="40" w:type="dxa"/>
            <w:vAlign w:val="bottom"/>
          </w:tcPr>
          <w:p>
            <w:pPr>
              <w:spacing w:after="0"/>
              <w:rPr>
                <w:sz w:val="19"/>
                <w:szCs w:val="19"/>
                <w:color w:val="auto"/>
              </w:rPr>
            </w:pPr>
          </w:p>
        </w:tc>
        <w:tc>
          <w:tcPr>
            <w:tcW w:w="5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r>
      <w:tr>
        <w:trPr>
          <w:trHeight w:val="250"/>
        </w:trPr>
        <w:tc>
          <w:tcPr>
            <w:tcW w:w="40" w:type="dxa"/>
            <w:vAlign w:val="bottom"/>
          </w:tcPr>
          <w:p>
            <w:pPr>
              <w:spacing w:after="0"/>
              <w:rPr>
                <w:sz w:val="21"/>
                <w:szCs w:val="21"/>
                <w:color w:val="auto"/>
              </w:rPr>
            </w:pPr>
          </w:p>
        </w:tc>
        <w:tc>
          <w:tcPr>
            <w:tcW w:w="2280" w:type="dxa"/>
            <w:vAlign w:val="bottom"/>
            <w:tcBorders>
              <w:bottom w:val="single" w:sz="8" w:color="CCEEFF"/>
            </w:tcBorders>
          </w:tcPr>
          <w:p>
            <w:pPr>
              <w:spacing w:after="0"/>
              <w:rPr>
                <w:sz w:val="21"/>
                <w:szCs w:val="21"/>
                <w:color w:val="auto"/>
              </w:rPr>
            </w:pPr>
          </w:p>
        </w:tc>
        <w:tc>
          <w:tcPr>
            <w:tcW w:w="36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r>
      <w:tr>
        <w:trPr>
          <w:trHeight w:val="223"/>
        </w:trPr>
        <w:tc>
          <w:tcPr>
            <w:tcW w:w="40" w:type="dxa"/>
            <w:vAlign w:val="bottom"/>
          </w:tcPr>
          <w:p>
            <w:pPr>
              <w:spacing w:after="0"/>
              <w:rPr>
                <w:sz w:val="19"/>
                <w:szCs w:val="19"/>
                <w:color w:val="auto"/>
              </w:rPr>
            </w:pP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23"/>
        </w:trPr>
        <w:tc>
          <w:tcPr>
            <w:tcW w:w="40" w:type="dxa"/>
            <w:vAlign w:val="bottom"/>
          </w:tcPr>
          <w:p>
            <w:pPr>
              <w:spacing w:after="0"/>
              <w:rPr>
                <w:sz w:val="19"/>
                <w:szCs w:val="19"/>
                <w:color w:val="auto"/>
              </w:rPr>
            </w:pP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per diluted common share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0.81</w:t>
            </w:r>
          </w:p>
        </w:tc>
      </w:tr>
      <w:tr>
        <w:trPr>
          <w:trHeight w:val="21"/>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quarter of fiscal 2024, the Company incurred charges as follows:</w:t>
      </w:r>
    </w:p>
    <w:p>
      <w:pPr>
        <w:spacing w:after="0" w:line="11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Acquisition Costs </w:t>
      </w:r>
      <w:r>
        <w:rPr>
          <w:rFonts w:ascii="Times New Roman" w:cs="Times New Roman" w:eastAsia="Times New Roman" w:hAnsi="Times New Roman"/>
          <w:sz w:val="18"/>
          <w:szCs w:val="18"/>
          <w:color w:val="auto"/>
        </w:rPr>
        <w:t>- Total pre-tax charges of $67.9 million attributable to the Capri Acquisition. These charges include:</w:t>
      </w:r>
    </w:p>
    <w:p>
      <w:pPr>
        <w:spacing w:after="0" w:line="117"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SG&amp;A expenses</w:t>
      </w:r>
      <w:r>
        <w:rPr>
          <w:rFonts w:ascii="Times New Roman" w:cs="Times New Roman" w:eastAsia="Times New Roman" w:hAnsi="Times New Roman"/>
          <w:sz w:val="18"/>
          <w:szCs w:val="18"/>
          <w:color w:val="auto"/>
        </w:rPr>
        <w:t>: $35.0 million primarily related to professional fees recorded within Corporate;</w:t>
      </w:r>
    </w:p>
    <w:p>
      <w:pPr>
        <w:spacing w:after="0" w:line="117" w:lineRule="exact"/>
        <w:rPr>
          <w:rFonts w:ascii="Times New Roman" w:cs="Times New Roman" w:eastAsia="Times New Roman" w:hAnsi="Times New Roman"/>
          <w:sz w:val="18"/>
          <w:szCs w:val="18"/>
          <w:b w:val="1"/>
          <w:bCs w:val="1"/>
          <w:color w:val="auto"/>
        </w:rPr>
      </w:pPr>
    </w:p>
    <w:p>
      <w:pPr>
        <w:ind w:left="1300" w:right="20" w:hanging="320"/>
        <w:spacing w:after="0" w:line="284" w:lineRule="auto"/>
        <w:tabs>
          <w:tab w:leader="none" w:pos="1296" w:val="left"/>
        </w:tabs>
        <w:numPr>
          <w:ilvl w:val="1"/>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$32.9 million of financing related charges, which primarily includes the net impact of the Capri Acquisition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w:t>
      </w:r>
    </w:p>
    <w:p>
      <w:pPr>
        <w:spacing w:after="0" w:line="52" w:lineRule="exact"/>
        <w:rPr>
          <w:sz w:val="20"/>
          <w:szCs w:val="20"/>
          <w:color w:val="auto"/>
        </w:rPr>
      </w:pPr>
    </w:p>
    <w:p>
      <w:pPr>
        <w:ind w:firstLine="275"/>
        <w:spacing w:after="0" w:line="282" w:lineRule="auto"/>
        <w:rPr>
          <w:sz w:val="20"/>
          <w:szCs w:val="20"/>
          <w:color w:val="auto"/>
        </w:rPr>
      </w:pPr>
      <w:r>
        <w:rPr>
          <w:rFonts w:ascii="Times New Roman" w:cs="Times New Roman" w:eastAsia="Times New Roman" w:hAnsi="Times New Roman"/>
          <w:sz w:val="18"/>
          <w:szCs w:val="18"/>
          <w:color w:val="auto"/>
        </w:rPr>
        <w:t>These actions taken together negatively impacted operating income by $35.0 million, increased interest expense by $32.9 million and reduced the provision for income tax by $17.2 million resulting in a net decrease in net income by $50.7 million or $0.21 per diluted share.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Segment Data</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8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color w:val="auto"/>
              </w:rPr>
              <w:t>Three Months Ended March 30, 2024</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0" w:type="dxa"/>
            <w:vAlign w:val="bottom"/>
            <w:tcBorders>
              <w:top w:val="single" w:sz="8" w:color="auto"/>
              <w:bottom w:val="single" w:sz="8" w:color="auto"/>
            </w:tcBorders>
            <w:gridSpan w:val="7"/>
          </w:tcPr>
          <w:p>
            <w:pPr>
              <w:jc w:val="center"/>
              <w:ind w:right="110"/>
              <w:spacing w:after="0"/>
              <w:rPr>
                <w:sz w:val="20"/>
                <w:szCs w:val="20"/>
                <w:color w:val="auto"/>
              </w:rPr>
            </w:pPr>
            <w:r>
              <w:rPr>
                <w:rFonts w:ascii="Times New Roman" w:cs="Times New Roman" w:eastAsia="Times New Roman" w:hAnsi="Times New Roman"/>
                <w:sz w:val="18"/>
                <w:szCs w:val="18"/>
                <w:color w:val="auto"/>
                <w:w w:val="99"/>
              </w:rPr>
              <w:t>Items Affecting Comparability</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w w:val="99"/>
              </w:rPr>
              <w:t>GAAP Basis</w:t>
            </w: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Non-GAAP Basis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(As Reported)</w:t>
            </w:r>
          </w:p>
        </w:tc>
        <w:tc>
          <w:tcPr>
            <w:tcW w:w="160" w:type="dxa"/>
            <w:vAlign w:val="bottom"/>
          </w:tcPr>
          <w:p>
            <w:pPr>
              <w:spacing w:after="0"/>
              <w:rPr>
                <w:sz w:val="21"/>
                <w:szCs w:val="21"/>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Acquisition Costs</w:t>
            </w:r>
          </w:p>
        </w:tc>
        <w:tc>
          <w:tcPr>
            <w:tcW w:w="140" w:type="dxa"/>
            <w:vAlign w:val="bottom"/>
          </w:tcPr>
          <w:p>
            <w:pPr>
              <w:spacing w:after="0"/>
              <w:rPr>
                <w:sz w:val="21"/>
                <w:szCs w:val="21"/>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(Excluding Items)</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(millions)</w:t>
            </w:r>
          </w:p>
        </w:tc>
        <w:tc>
          <w:tcPr>
            <w:tcW w:w="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2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37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SG&amp;A expenses</w:t>
            </w:r>
          </w:p>
        </w:tc>
        <w:tc>
          <w:tcPr>
            <w:tcW w:w="2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CCEEFF"/>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Tapestry, Inc. Summary – Third Quarter of Fiscal 2025</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Currency Fluctuation Effects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net sales for the third quarter of fiscal 2025 compared to the third quarter of fiscal 2024 has been presented both including and excluding currency fluctuation impacts. All percentages shown in the tables below and the discussion that follows have been calculated using unrounded numbers.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178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tcBorders>
              <w:top w:val="single" w:sz="8" w:color="auto"/>
            </w:tcBorders>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4"/>
                <w:szCs w:val="14"/>
                <w:color w:val="auto"/>
              </w:rPr>
            </w:pPr>
          </w:p>
        </w:tc>
        <w:tc>
          <w:tcPr>
            <w:tcW w:w="1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Constant Currency</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March 30, 2024</w:t>
            </w: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3"/>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1,584.6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1,482.4</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sales in the third quarter of fiscal 2025 increased 6.9% or $102.2 million to $1.58 billion. Excluding the impact of foreign currency, net sales increased by 8.4% or $124.7 million.</w:t>
      </w:r>
    </w:p>
    <w:p>
      <w:pPr>
        <w:spacing w:after="0" w:line="52" w:lineRule="exact"/>
        <w:rPr>
          <w:sz w:val="20"/>
          <w:szCs w:val="20"/>
          <w:color w:val="auto"/>
        </w:rPr>
      </w:pPr>
    </w:p>
    <w:p>
      <w:pPr>
        <w:jc w:val="both"/>
        <w:ind w:left="660" w:hanging="328"/>
        <w:spacing w:after="0" w:line="261" w:lineRule="auto"/>
        <w:tabs>
          <w:tab w:leader="none" w:pos="65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Coach Net Sales </w:t>
      </w:r>
      <w:r>
        <w:rPr>
          <w:rFonts w:ascii="Times New Roman" w:cs="Times New Roman" w:eastAsia="Times New Roman" w:hAnsi="Times New Roman"/>
          <w:sz w:val="18"/>
          <w:szCs w:val="18"/>
          <w:color w:val="auto"/>
        </w:rPr>
        <w:t>increased 12.9% or $147.9 million to $1.29 billion in the third quarter of fiscal 2025. Excluding the impact of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sales increased 14.6% or $167.2 million. This increase in net sales was primarily due to an increase of $149.8 million in DTC sales as a result of an increase in both e-commerce and store sales globally, mainly driven by North America, Greater China, and Europe. The increase in net sales was also attributed to a $28.2 million increase in wholesale sales, mainly driven by North America and Europe.</w:t>
      </w:r>
    </w:p>
    <w:p>
      <w:pPr>
        <w:spacing w:after="0" w:line="71" w:lineRule="exact"/>
        <w:rPr>
          <w:rFonts w:ascii="Times New Roman" w:cs="Times New Roman" w:eastAsia="Times New Roman" w:hAnsi="Times New Roman"/>
          <w:sz w:val="18"/>
          <w:szCs w:val="18"/>
          <w:b w:val="1"/>
          <w:bCs w:val="1"/>
          <w:color w:val="auto"/>
        </w:rPr>
      </w:pPr>
    </w:p>
    <w:p>
      <w:pPr>
        <w:jc w:val="both"/>
        <w:ind w:left="660" w:right="20" w:hanging="328"/>
        <w:spacing w:after="0" w:line="267" w:lineRule="auto"/>
        <w:tabs>
          <w:tab w:leader="none" w:pos="655"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Kate Spade Net Sales </w:t>
      </w:r>
      <w:r>
        <w:rPr>
          <w:rFonts w:ascii="Times New Roman" w:cs="Times New Roman" w:eastAsia="Times New Roman" w:hAnsi="Times New Roman"/>
          <w:sz w:val="18"/>
          <w:szCs w:val="18"/>
          <w:color w:val="auto"/>
        </w:rPr>
        <w:t>decreased 12.7% or $35.8 million to $244.9 million in the third quarter of fiscal 2025. Excluding the impact of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net sales decreased 11.7% or $32.9 million. This decrease in net sales was due to a decrease of $31.9 million in DTC sales as a result of lower store and to a lesser extent, e-commerce sales.</w:t>
      </w:r>
    </w:p>
    <w:p>
      <w:pPr>
        <w:spacing w:after="0" w:line="65" w:lineRule="exact"/>
        <w:rPr>
          <w:rFonts w:ascii="Times New Roman" w:cs="Times New Roman" w:eastAsia="Times New Roman" w:hAnsi="Times New Roman"/>
          <w:sz w:val="18"/>
          <w:szCs w:val="18"/>
          <w:b w:val="1"/>
          <w:bCs w:val="1"/>
          <w:i w:val="1"/>
          <w:iCs w:val="1"/>
          <w:color w:val="auto"/>
        </w:rPr>
      </w:pPr>
    </w:p>
    <w:p>
      <w:pPr>
        <w:ind w:left="660" w:right="20" w:hanging="328"/>
        <w:spacing w:after="0" w:line="284" w:lineRule="auto"/>
        <w:tabs>
          <w:tab w:leader="none" w:pos="65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Stuart Weitzman Net Sales </w:t>
      </w:r>
      <w:r>
        <w:rPr>
          <w:rFonts w:ascii="Times New Roman" w:cs="Times New Roman" w:eastAsia="Times New Roman" w:hAnsi="Times New Roman"/>
          <w:sz w:val="18"/>
          <w:szCs w:val="18"/>
          <w:color w:val="auto"/>
        </w:rPr>
        <w:t>decreased 17.7% or $9.9 million to $46.2 million in the third quarter of fiscal 2025. Excluding the impact of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net sales decreased 17.2% or $9.6 million.</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65"/>
        </w:trPr>
        <w:tc>
          <w:tcPr>
            <w:tcW w:w="2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3"/>
        </w:trPr>
        <w:tc>
          <w:tcPr>
            <w:tcW w:w="2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30, 2024</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color w:val="auto"/>
              </w:rPr>
              <w:t>Variance</w:t>
            </w:r>
          </w:p>
        </w:tc>
        <w:tc>
          <w:tcPr>
            <w:tcW w:w="1000" w:type="dxa"/>
            <w:vAlign w:val="bottom"/>
            <w:tcBorders>
              <w:bottom w:val="single" w:sz="8" w:color="auto"/>
            </w:tcBorders>
          </w:tcPr>
          <w:p>
            <w:pPr>
              <w:spacing w:after="0"/>
              <w:rPr>
                <w:sz w:val="19"/>
                <w:szCs w:val="19"/>
                <w:color w:val="auto"/>
              </w:rPr>
            </w:pPr>
          </w:p>
        </w:tc>
      </w:tr>
      <w:tr>
        <w:trPr>
          <w:trHeight w:val="184"/>
        </w:trPr>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2"/>
        </w:trPr>
        <w:tc>
          <w:tcPr>
            <w:tcW w:w="2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1"/>
                <w:szCs w:val="21"/>
                <w:color w:val="auto"/>
              </w:rPr>
            </w:pP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1"/>
                <w:szCs w:val="21"/>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1"/>
                <w:szCs w:val="21"/>
                <w:color w:val="auto"/>
              </w:rPr>
            </w:pPr>
          </w:p>
        </w:tc>
        <w:tc>
          <w:tcPr>
            <w:tcW w:w="1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Amount</w:t>
            </w:r>
          </w:p>
        </w:tc>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w w:val="99"/>
              </w:rPr>
              <w:t>78.7 %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77.7 %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163.2</w:t>
            </w:r>
          </w:p>
        </w:tc>
        <w:tc>
          <w:tcPr>
            <w:tcW w:w="16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66.7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6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6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52.2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6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(25.9)</w:t>
            </w: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Tapestry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1,205.8</w:t>
            </w:r>
          </w:p>
        </w:tc>
        <w:tc>
          <w:tcPr>
            <w:tcW w:w="16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76.1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1,107.4</w:t>
            </w:r>
          </w:p>
        </w:tc>
        <w:tc>
          <w:tcPr>
            <w:tcW w:w="16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Gross profit increased 8.9% or $98.4 million to $1.21 billion in the third quarter of fiscal 2025 from $1.11 billion in the third quarter of fiscal 2024. Gross margin increased 140 basis points to 76.1% in the third quarter of fiscal 2025 from 74.7% in the third quarter of fiscal 2024. This increase in Gross margin was primarily attributed to net pricing improvements.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includes inbound product-related transportation costs from our service providers within Cost of sales. The Company, similar to some companies, includes certain transportation-related costs due to our distribution network in SG&amp;A expenses rather than in Cost of sales; for this reason, our gross margins may not be comparable to that of entities that include all costs related to their distribution network in Cost of sales.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52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 ("SG&amp;A")</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64"/>
        </w:trPr>
        <w:tc>
          <w:tcPr>
            <w:tcW w:w="2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3"/>
        </w:trPr>
        <w:tc>
          <w:tcPr>
            <w:tcW w:w="2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March 30, 2024</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000" w:type="dxa"/>
            <w:vAlign w:val="bottom"/>
            <w:tcBorders>
              <w:bottom w:val="single" w:sz="8" w:color="auto"/>
            </w:tcBorders>
          </w:tcPr>
          <w:p>
            <w:pPr>
              <w:spacing w:after="0"/>
              <w:rPr>
                <w:sz w:val="19"/>
                <w:szCs w:val="19"/>
                <w:color w:val="auto"/>
              </w:rPr>
            </w:pPr>
          </w:p>
        </w:tc>
      </w:tr>
      <w:tr>
        <w:trPr>
          <w:trHeight w:val="184"/>
        </w:trPr>
        <w:tc>
          <w:tcPr>
            <w:tcW w:w="2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2"/>
        </w:trPr>
        <w:tc>
          <w:tcPr>
            <w:tcW w:w="2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1"/>
                <w:szCs w:val="21"/>
                <w:color w:val="auto"/>
              </w:rPr>
            </w:pP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1"/>
                <w:szCs w:val="21"/>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1"/>
                <w:szCs w:val="21"/>
                <w:color w:val="auto"/>
              </w:rPr>
            </w:pPr>
          </w:p>
        </w:tc>
        <w:tc>
          <w:tcPr>
            <w:tcW w:w="1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Amount</w:t>
            </w:r>
          </w:p>
        </w:tc>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w w:val="99"/>
              </w:rPr>
              <w:t>46.3 %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46.1 %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29"/>
        </w:trPr>
        <w:tc>
          <w:tcPr>
            <w:tcW w:w="2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Kate Spade</w:t>
            </w:r>
            <w:r>
              <w:rPr>
                <w:rFonts w:ascii="Times New Roman" w:cs="Times New Roman" w:eastAsia="Times New Roman" w:hAnsi="Times New Roman"/>
                <w:sz w:val="23"/>
                <w:szCs w:val="23"/>
                <w:b w:val="1"/>
                <w:bCs w:val="1"/>
                <w:color w:val="auto"/>
                <w:vertAlign w:val="superscript"/>
              </w:rPr>
              <w:t>(1)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163.2</w:t>
            </w:r>
          </w:p>
        </w:tc>
        <w:tc>
          <w:tcPr>
            <w:tcW w:w="16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66.7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6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2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Stuart Weitzman</w:t>
            </w:r>
            <w:r>
              <w:rPr>
                <w:rFonts w:ascii="Times New Roman" w:cs="Times New Roman" w:eastAsia="Times New Roman" w:hAnsi="Times New Roman"/>
                <w:sz w:val="23"/>
                <w:szCs w:val="23"/>
                <w:b w:val="1"/>
                <w:bCs w:val="1"/>
                <w:color w:val="auto"/>
                <w:vertAlign w:val="superscript"/>
              </w:rPr>
              <w:t>(2)</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16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64.3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21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23"/>
                <w:szCs w:val="23"/>
                <w:b w:val="1"/>
                <w:bCs w:val="1"/>
                <w:color w:val="auto"/>
                <w:vertAlign w:val="superscript"/>
              </w:rPr>
              <w:t>(3)(4)</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160.8</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NA</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gridSpan w:val="2"/>
          </w:tcPr>
          <w:p>
            <w:pPr>
              <w:ind w:left="100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Tapestry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952.1</w:t>
            </w:r>
          </w:p>
        </w:tc>
        <w:tc>
          <w:tcPr>
            <w:tcW w:w="162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160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SG&amp;A expenses increased 5.4% or $49.0 million to $952.1 million in the third quarter of fiscal 2025 as compared to $903.1 million in the third quarter of fiscal 2024. As a percentage of net sales, SG&amp;A expenses decreased to 60.1% during the third quarter of fiscal 2025 from 60.9% during the third quarter of fiscal 2024. Excluding items affecting comparability of $23.6 million in the third quarter of fiscal 2025, SG&amp;A expenses increased 7.0% or $60.4 million to $928.5 million from $868.1 million in the third quarter of fiscal 2024. SG&amp;A as a percentage of net sales remained even at 58.6% in the third quarter of fiscal 2025 as compared to the third quarter of fiscal 2024 primarily due to higher marketing spend and higher compensation costs driven by accrued incentive compensation, offset by leverage of fixed costs on higher net sales.</w:t>
      </w:r>
    </w:p>
    <w:p>
      <w:pPr>
        <w:spacing w:after="0" w:line="79" w:lineRule="exact"/>
        <w:rPr>
          <w:sz w:val="20"/>
          <w:szCs w:val="20"/>
          <w:color w:val="auto"/>
        </w:rPr>
      </w:pPr>
    </w:p>
    <w:p>
      <w:pPr>
        <w:jc w:val="both"/>
        <w:ind w:left="340" w:hanging="332"/>
        <w:spacing w:after="0" w:line="239" w:lineRule="auto"/>
        <w:tabs>
          <w:tab w:leader="none" w:pos="382"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third quarter of fiscal 2025, Kate Spade incurred charges affecting comparability of $2.8 million. Excluding those items affecting comparability, SG&amp;A expenses decreased 7.6% or $13.2 million to $160.4 million in the third quarter of fiscal 2025 as compared to $173.6 million in the third quarter of fiscal 2024. SG&amp;A as a percentage of net sales increased 370 basis points to 65.5% in the third quarter of fiscal 2025 as compared to 61.8% the third quarter of fiscal 2024.</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9" w:lineRule="auto"/>
        <w:tabs>
          <w:tab w:leader="none" w:pos="52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third quarter of fiscal 2025, Stuart Weitzman incurred charges affecting comparability of $0.6 million. Excluding those items affecting comparability, SG&amp;A expenses decreased 22.0% or $8.1 million to $29.1 million in the third quarter of fiscal 2025 as compared to $37.2 million in the third quarter of fiscal 2024. SG&amp;A as a percentage of net sales decreased 350 basis points to 62.9% in the third quarter of fiscal 2025 as compared to 66.4% the third quarter of fiscal 2024.</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8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third quarter of fiscal 2025, Corporate incurred charges affecting comparability of $20.2 million. Excluding those items affecting comparability, SG&amp;A expenses increased 9.2% or $11.9 million to $140.6 million in the third quarter of fiscal 2025 as compared to $128.7 million in the third quarter of fiscal 2024.</w:t>
      </w:r>
    </w:p>
    <w:p>
      <w:pPr>
        <w:spacing w:after="0" w:line="61" w:lineRule="exact"/>
        <w:rPr>
          <w:rFonts w:ascii="Times New Roman" w:cs="Times New Roman" w:eastAsia="Times New Roman" w:hAnsi="Times New Roman"/>
          <w:sz w:val="23"/>
          <w:szCs w:val="23"/>
          <w:color w:val="auto"/>
          <w:vertAlign w:val="superscript"/>
        </w:rPr>
      </w:pPr>
    </w:p>
    <w:p>
      <w:pPr>
        <w:ind w:left="360" w:hanging="352"/>
        <w:spacing w:after="0"/>
        <w:tabs>
          <w:tab w:leader="none" w:pos="36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expenses, which are included within SG&amp;A expenses discussed above but are not directly attributable to a reportable segment.</w:t>
      </w:r>
    </w:p>
    <w:p>
      <w:pPr>
        <w:spacing w:after="0" w:line="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3"/>
        </w:trPr>
        <w:tc>
          <w:tcPr>
            <w:tcW w:w="2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30, 2024</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color w:val="auto"/>
              </w:rPr>
              <w:t>Variance</w:t>
            </w:r>
          </w:p>
        </w:tc>
        <w:tc>
          <w:tcPr>
            <w:tcW w:w="1000" w:type="dxa"/>
            <w:vAlign w:val="bottom"/>
            <w:tcBorders>
              <w:bottom w:val="single" w:sz="8" w:color="auto"/>
            </w:tcBorders>
          </w:tcPr>
          <w:p>
            <w:pPr>
              <w:spacing w:after="0"/>
              <w:rPr>
                <w:sz w:val="19"/>
                <w:szCs w:val="19"/>
                <w:color w:val="auto"/>
              </w:rPr>
            </w:pPr>
          </w:p>
        </w:tc>
      </w:tr>
      <w:tr>
        <w:trPr>
          <w:trHeight w:val="184"/>
        </w:trPr>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2"/>
        </w:trPr>
        <w:tc>
          <w:tcPr>
            <w:tcW w:w="2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1"/>
                <w:szCs w:val="21"/>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1"/>
                <w:szCs w:val="21"/>
                <w:color w:val="auto"/>
              </w:rPr>
            </w:pP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1"/>
                <w:szCs w:val="21"/>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1"/>
                <w:szCs w:val="21"/>
                <w:color w:val="auto"/>
              </w:rPr>
            </w:pPr>
          </w:p>
        </w:tc>
        <w:tc>
          <w:tcPr>
            <w:tcW w:w="1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Amount</w:t>
            </w:r>
          </w:p>
        </w:tc>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420.1</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(99.7)</w:t>
            </w: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(160.8)</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NA</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gridSpan w:val="2"/>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Tapestry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253.7</w:t>
            </w:r>
          </w:p>
        </w:tc>
        <w:tc>
          <w:tcPr>
            <w:tcW w:w="1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24.2</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Operating income increased 24.2% or $49.4 million to $253.7 million in the third quarter of fiscal 2025 as compared to $204.3 million in the third quarter of fiscal 2024. Operating margin was 16.0% in the third quarter of fiscal 2025 as compared to 13.8% in the third quarter of fiscal 2024. Excluding items affecting comparability of $23.6 million in the third quarter of fiscal 2025, operating income increased $38.0 million to $277.3 million in the third quarter of fiscal 2025 from $239.3 million in the third quarter of fiscal 2024; and operating margin increased 140 basis points to 17.5% in the third quarter of fiscal 2025 as compared to 16.1% in the third quarter of fiscal 2024. This increase in operating margin was attributable to a 140 basis points increase in gross margin.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4" w:name="page45"/>
    <w:bookmarkEnd w:id="44"/>
    <w:p>
      <w:pPr>
        <w:jc w:val="both"/>
        <w:ind w:left="660" w:hanging="328"/>
        <w:spacing w:after="0" w:line="267" w:lineRule="auto"/>
        <w:tabs>
          <w:tab w:leader="none" w:pos="655"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Coach Operating Income </w:t>
      </w:r>
      <w:r>
        <w:rPr>
          <w:rFonts w:ascii="Times New Roman" w:cs="Times New Roman" w:eastAsia="Times New Roman" w:hAnsi="Times New Roman"/>
          <w:sz w:val="18"/>
          <w:szCs w:val="18"/>
          <w:color w:val="auto"/>
        </w:rPr>
        <w:t>increased $57.4 million to $420.1 million in the third quarter of fiscal 2025, resulting in an operating margin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80 basis points to 32.4%, as compared to $362.7 million and 31.6%, respectively, in the third quarter of fiscal 2024. This increase in operating margin was primarily attributed to:</w:t>
      </w:r>
    </w:p>
    <w:p>
      <w:pPr>
        <w:spacing w:after="0" w:line="65" w:lineRule="exact"/>
        <w:rPr>
          <w:rFonts w:ascii="Times New Roman" w:cs="Times New Roman" w:eastAsia="Times New Roman" w:hAnsi="Times New Roman"/>
          <w:sz w:val="18"/>
          <w:szCs w:val="18"/>
          <w:b w:val="1"/>
          <w:bCs w:val="1"/>
          <w:i w:val="1"/>
          <w:iCs w:val="1"/>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increased 100 basis points mainly due to net pricing improvements, partially offset by unfavorable geography mix;</w:t>
      </w:r>
    </w:p>
    <w:p>
      <w:pPr>
        <w:spacing w:after="0" w:line="117" w:lineRule="exact"/>
        <w:rPr>
          <w:rFonts w:ascii="Times New Roman" w:cs="Times New Roman" w:eastAsia="Times New Roman" w:hAnsi="Times New Roman"/>
          <w:sz w:val="18"/>
          <w:szCs w:val="18"/>
          <w:b w:val="1"/>
          <w:bCs w:val="1"/>
          <w:color w:val="auto"/>
        </w:rPr>
      </w:pPr>
    </w:p>
    <w:p>
      <w:pPr>
        <w:ind w:left="1300" w:hanging="320"/>
        <w:spacing w:after="0" w:line="284" w:lineRule="auto"/>
        <w:tabs>
          <w:tab w:leader="none" w:pos="1296"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SG&amp;A expenses as a percentage of net sales</w:t>
      </w:r>
      <w:r>
        <w:rPr>
          <w:rFonts w:ascii="Times New Roman" w:cs="Times New Roman" w:eastAsia="Times New Roman" w:hAnsi="Times New Roman"/>
          <w:sz w:val="18"/>
          <w:szCs w:val="18"/>
          <w:color w:val="auto"/>
        </w:rPr>
        <w:t>, increased 20 basis points mainly due to higher marketing spend, partially offset by leverage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fixed costs on higher net sales.</w:t>
      </w:r>
    </w:p>
    <w:p>
      <w:pPr>
        <w:spacing w:after="0" w:line="50" w:lineRule="exact"/>
        <w:rPr>
          <w:rFonts w:ascii="Times New Roman" w:cs="Times New Roman" w:eastAsia="Times New Roman" w:hAnsi="Times New Roman"/>
          <w:sz w:val="18"/>
          <w:szCs w:val="18"/>
          <w:b w:val="1"/>
          <w:bCs w:val="1"/>
          <w:color w:val="auto"/>
        </w:rPr>
      </w:pPr>
    </w:p>
    <w:p>
      <w:pPr>
        <w:jc w:val="both"/>
        <w:ind w:left="660" w:hanging="328"/>
        <w:spacing w:after="0" w:line="258" w:lineRule="auto"/>
        <w:tabs>
          <w:tab w:leader="none" w:pos="65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Kate Spade Operating Income </w:t>
      </w:r>
      <w:r>
        <w:rPr>
          <w:rFonts w:ascii="Times New Roman" w:cs="Times New Roman" w:eastAsia="Times New Roman" w:hAnsi="Times New Roman"/>
          <w:sz w:val="18"/>
          <w:szCs w:val="18"/>
          <w:color w:val="auto"/>
        </w:rPr>
        <w:t>decreased $10.0 million to $0.0 million in the third quarter of fiscal 2025. Operating margin was 0.0% in the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fiscal 2025 as compared to 3.6% in the third quarter of fiscal 2024. Excluding items affecting comparability, operating income decreased $7.2 million to $2.8 million in the third quarter of fiscal 2025 from $10.0 million in the third quarter of fiscal 2024; and operating margin decreased 240 basis points to 1.2% in the third quarter of fiscal 2025 as compared to 3.6% in the third quarter of fiscal 2024. This decrease in operating margin was primarily attributed to:</w:t>
      </w:r>
    </w:p>
    <w:p>
      <w:pPr>
        <w:spacing w:after="0" w:line="75"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Gross Margin</w:t>
      </w:r>
      <w:r>
        <w:rPr>
          <w:rFonts w:ascii="Times New Roman" w:cs="Times New Roman" w:eastAsia="Times New Roman" w:hAnsi="Times New Roman"/>
          <w:sz w:val="18"/>
          <w:szCs w:val="18"/>
          <w:color w:val="auto"/>
        </w:rPr>
        <w:t>, increased 130 basis points mainly due to net pricing improvements;</w:t>
      </w:r>
    </w:p>
    <w:p>
      <w:pPr>
        <w:spacing w:after="0" w:line="117" w:lineRule="exact"/>
        <w:rPr>
          <w:rFonts w:ascii="Times New Roman" w:cs="Times New Roman" w:eastAsia="Times New Roman" w:hAnsi="Times New Roman"/>
          <w:sz w:val="18"/>
          <w:szCs w:val="18"/>
          <w:b w:val="1"/>
          <w:bCs w:val="1"/>
          <w:color w:val="auto"/>
        </w:rPr>
      </w:pPr>
    </w:p>
    <w:p>
      <w:pPr>
        <w:ind w:left="1300" w:hanging="320"/>
        <w:spacing w:after="0" w:line="284" w:lineRule="auto"/>
        <w:tabs>
          <w:tab w:leader="none" w:pos="131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SG&amp;A expenses as a percentage of net sales, </w:t>
      </w:r>
      <w:r>
        <w:rPr>
          <w:rFonts w:ascii="Times New Roman" w:cs="Times New Roman" w:eastAsia="Times New Roman" w:hAnsi="Times New Roman"/>
          <w:sz w:val="18"/>
          <w:szCs w:val="18"/>
          <w:color w:val="auto"/>
        </w:rPr>
        <w:t>increased 370 basis points mainly due to deleverage of fixed costs on lower net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a decrease in distribution costs.</w:t>
      </w:r>
    </w:p>
    <w:p>
      <w:pPr>
        <w:spacing w:after="0" w:line="50" w:lineRule="exact"/>
        <w:rPr>
          <w:rFonts w:ascii="Times New Roman" w:cs="Times New Roman" w:eastAsia="Times New Roman" w:hAnsi="Times New Roman"/>
          <w:sz w:val="18"/>
          <w:szCs w:val="18"/>
          <w:b w:val="1"/>
          <w:bCs w:val="1"/>
          <w:color w:val="auto"/>
        </w:rPr>
      </w:pPr>
    </w:p>
    <w:p>
      <w:pPr>
        <w:jc w:val="both"/>
        <w:ind w:left="660" w:hanging="328"/>
        <w:spacing w:after="0" w:line="261" w:lineRule="auto"/>
        <w:tabs>
          <w:tab w:leader="none" w:pos="655"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Stuart Weitzman Operating Loss </w:t>
      </w:r>
      <w:r>
        <w:rPr>
          <w:rFonts w:ascii="Times New Roman" w:cs="Times New Roman" w:eastAsia="Times New Roman" w:hAnsi="Times New Roman"/>
          <w:sz w:val="18"/>
          <w:szCs w:val="18"/>
          <w:color w:val="auto"/>
        </w:rPr>
        <w:t>increased $0.9 million to a loss of $5.6 million in the third quarter of fiscal 2025. Operating margin was (12.1)%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third quarter of fiscal 2025 as compared to (8.4)% in the third quarter of fiscal 2024. Excluding items affecting comparability, operating loss increased $0.3 million to a loss of $5.0 million in the third quarter of fiscal 2025 from a loss of $4.7 million in the third quarter of fiscal 2024; and operating margin decreased 230 basis points to (10.7)% in the third quarter of fiscal 2025 as compared to (8.4)% in the third quarter of fiscal 2024.</w:t>
      </w:r>
    </w:p>
    <w:p>
      <w:pPr>
        <w:spacing w:after="0" w:line="71"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1" w:lineRule="auto"/>
        <w:tabs>
          <w:tab w:leader="none" w:pos="655"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Corporate Operating Expenses </w:t>
      </w:r>
      <w:r>
        <w:rPr>
          <w:rFonts w:ascii="Times New Roman" w:cs="Times New Roman" w:eastAsia="Times New Roman" w:hAnsi="Times New Roman"/>
          <w:sz w:val="18"/>
          <w:szCs w:val="18"/>
          <w:color w:val="auto"/>
        </w:rPr>
        <w:t>decreased 1.7% or $2.9 million to $160.8 million in the third quarter of fiscal 2025. Excluding items affecting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comparability, Corporate operating expenses increased $11.9 million to $140.6 million from $128.7 million in the third quarter of fiscal 2024. This increase in operating expenses was attributed to an increase in SG&amp;A expenses primarily due to higher compensation costs driven by accrued incentive compensation.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interest expense decreased $16.6 million to $15.4 million in the third quarter of fiscal 2025 as compared to $32.0 million in the third quarter of fiscal 2024. Excluding items affecting comparability, net interest expense increased $16.3 million to interest expense of $15.4 million from interest income of $0.9 million in the third quarter of fiscal 2024. This increase in net interest expense was mainly due to an increase in interest expense as a result of the issuance of the 2030 and 2035 Senior Notes and lower interest income, partially offset by a decrease in interest expense as a result of the repayment of the Term Loan due 2027.</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increased $3.6 million to Other income of $0.8 million in the third quarter of fiscal 2025 as compared to Other expense of $2.8 million in the third quarter of fiscal 2024. This increase in Other income was related to an increase in foreign exchange gains.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 tax rate was 14.9% in the third quarter of fiscal 2025 as compared to 17.7% in the third quarter of fiscal 2024. Excluding items affecting comparability, the effective tax rate was 16.4% in the third quarter of fiscal 2025 as compared to 19.9% in the third quarter of fiscal 2024. This decrease in our effective tax rate was primarily attributable to discrete items recorded during the period, partially offset by geographic mix of earnings.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income increased 45.9% or $63.9 million to $203.3 million in the third quarter of fiscal 2025 as compared to $139.4 million in the third quarter of fiscal 2024. Excluding items affecting comparability, net income increased 15.6% or $29.7 million to $219.8 million in the third quarter of fiscal 2025 from $190.1 million in the third quarter of fiscal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income per diluted share was $0.95 in the third quarter of fiscal 2025 as compared to net income per diluted share of $0.60 in the third quarter of fiscal 2024. Excluding items affecting comparability, net income per diluted share increased $0.22 to $1.03 in the third quarter of fiscal 2025 from $0.81 in the third quarter of fiscal 2024, primarily due to higher net income and a decrease in shares outstanding.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FIRST NINE MONTHS FISCAL 2025 COMPARED TO FIRST NINE MONTHS FISCAL 2024</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results of operations for the first nine months of fiscal 2025 compared to the first nine months of fiscal 2024. All percentages shown in the table below and the discussion that follows have been calculated using unrounded numbers.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8"/>
                <w:szCs w:val="18"/>
                <w:color w:val="auto"/>
              </w:rPr>
              <w:t>March 30, 2024</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color w:val="auto"/>
              </w:rPr>
              <w:t>Variance</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00" w:type="dxa"/>
            <w:vAlign w:val="bottom"/>
            <w:gridSpan w:val="2"/>
          </w:tcPr>
          <w:p>
            <w:pPr>
              <w:jc w:val="center"/>
              <w:ind w:right="120"/>
              <w:spacing w:after="0" w:line="199"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80"/>
              <w:spacing w:after="0" w:line="199" w:lineRule="exact"/>
              <w:rPr>
                <w:sz w:val="20"/>
                <w:szCs w:val="20"/>
                <w:color w:val="auto"/>
              </w:rPr>
            </w:pPr>
            <w:r>
              <w:rPr>
                <w:rFonts w:ascii="Times New Roman" w:cs="Times New Roman" w:eastAsia="Times New Roman" w:hAnsi="Times New Roman"/>
                <w:sz w:val="18"/>
                <w:szCs w:val="18"/>
                <w:color w:val="auto"/>
                <w:w w:val="98"/>
              </w:rPr>
              <w:t>% of</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220" w:type="dxa"/>
            <w:vAlign w:val="bottom"/>
          </w:tcPr>
          <w:p>
            <w:pPr>
              <w:spacing w:after="0"/>
              <w:rPr>
                <w:sz w:val="21"/>
                <w:szCs w:val="21"/>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Net Sales</w:t>
            </w:r>
          </w:p>
        </w:tc>
        <w:tc>
          <w:tcPr>
            <w:tcW w:w="220" w:type="dxa"/>
            <w:vAlign w:val="bottom"/>
          </w:tcPr>
          <w:p>
            <w:pPr>
              <w:spacing w:after="0"/>
              <w:rPr>
                <w:sz w:val="21"/>
                <w:szCs w:val="21"/>
                <w:color w:val="auto"/>
              </w:rPr>
            </w:pP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9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5,287.5</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5,080.1</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3,973.8</w:t>
            </w:r>
          </w:p>
        </w:tc>
        <w:tc>
          <w:tcPr>
            <w:tcW w:w="120" w:type="dxa"/>
            <w:vAlign w:val="bottom"/>
          </w:tcPr>
          <w:p>
            <w:pPr>
              <w:spacing w:after="0"/>
              <w:rPr>
                <w:sz w:val="19"/>
                <w:szCs w:val="19"/>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3,698.3</w:t>
            </w:r>
          </w:p>
        </w:tc>
        <w:tc>
          <w:tcPr>
            <w:tcW w:w="1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2,975.3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998.5</w:t>
            </w:r>
          </w:p>
        </w:tc>
        <w:tc>
          <w:tcPr>
            <w:tcW w:w="120" w:type="dxa"/>
            <w:vAlign w:val="bottom"/>
          </w:tcPr>
          <w:p>
            <w:pPr>
              <w:spacing w:after="0"/>
              <w:rPr>
                <w:sz w:val="19"/>
                <w:szCs w:val="19"/>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3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120" w:type="dxa"/>
            <w:vAlign w:val="bottom"/>
          </w:tcPr>
          <w:p>
            <w:pPr>
              <w:spacing w:after="0"/>
              <w:rPr>
                <w:sz w:val="19"/>
                <w:szCs w:val="19"/>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3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109.8</w:t>
            </w:r>
          </w:p>
        </w:tc>
        <w:tc>
          <w:tcPr>
            <w:tcW w:w="120" w:type="dxa"/>
            <w:vAlign w:val="bottom"/>
          </w:tcPr>
          <w:p>
            <w:pPr>
              <w:spacing w:after="0"/>
              <w:rPr>
                <w:sz w:val="19"/>
                <w:szCs w:val="19"/>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8"/>
        </w:trPr>
        <w:tc>
          <w:tcPr>
            <w:tcW w:w="2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3798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reported results are presented in accordance with accounting principles generally accepted in the United States of America ("GAAP"). The reported results during the first nine months of fiscal 2025 and fiscal 2024 reflect certain items which affect the comparability of our results, as noted in the following table. Refer to "Non-GAAP Measures" herein for further discussion on the Non-GAAP measures.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2025, we updated the title of the items affecting comparability related to "Acquisition Costs" to "Acquisition and Divestiture Costs" to capture the costs related to the terminated Capri Acquisition as well as the Stuart Weitzman Business Divestiture.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First Nine Months of Fiscal 2025 Items</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85"/>
        </w:trPr>
        <w:tc>
          <w:tcPr>
            <w:tcW w:w="20" w:type="dxa"/>
            <w:vAlign w:val="bottom"/>
            <w:tcBorders>
              <w:top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Nine Months Ended March 29, 2025</w:t>
            </w: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Items Affecting Comparability</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77"/>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GAAP Basis</w:t>
            </w:r>
          </w:p>
        </w:tc>
        <w:tc>
          <w:tcPr>
            <w:tcW w:w="140" w:type="dxa"/>
            <w:vAlign w:val="bottom"/>
          </w:tcPr>
          <w:p>
            <w:pPr>
              <w:spacing w:after="0"/>
              <w:rPr>
                <w:sz w:val="24"/>
                <w:szCs w:val="24"/>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Acquisition and</w:t>
            </w:r>
          </w:p>
        </w:tc>
        <w:tc>
          <w:tcPr>
            <w:tcW w:w="180" w:type="dxa"/>
            <w:vAlign w:val="bottom"/>
          </w:tcPr>
          <w:p>
            <w:pPr>
              <w:spacing w:after="0"/>
              <w:rPr>
                <w:sz w:val="24"/>
                <w:szCs w:val="24"/>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Organizational</w:t>
            </w:r>
          </w:p>
        </w:tc>
        <w:tc>
          <w:tcPr>
            <w:tcW w:w="160" w:type="dxa"/>
            <w:vAlign w:val="bottom"/>
          </w:tcPr>
          <w:p>
            <w:pPr>
              <w:spacing w:after="0"/>
              <w:rPr>
                <w:sz w:val="24"/>
                <w:szCs w:val="24"/>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Non-GAAP Basis</w:t>
            </w:r>
          </w:p>
        </w:tc>
      </w:tr>
      <w:tr>
        <w:trPr>
          <w:trHeight w:val="241"/>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Divestiture Costs</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Efficiency Costs</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(Excluding Items)</w:t>
            </w:r>
          </w:p>
        </w:tc>
      </w:tr>
      <w:tr>
        <w:trPr>
          <w:trHeight w:val="192"/>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6"/>
        </w:trPr>
        <w:tc>
          <w:tcPr>
            <w:tcW w:w="20" w:type="dxa"/>
            <w:vAlign w:val="bottom"/>
          </w:tcPr>
          <w:p>
            <w:pPr>
              <w:spacing w:after="0"/>
              <w:rPr>
                <w:sz w:val="20"/>
                <w:szCs w:val="20"/>
                <w:color w:val="auto"/>
              </w:rPr>
            </w:pP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1,427.6</w:t>
            </w:r>
          </w:p>
        </w:tc>
      </w:tr>
      <w:tr>
        <w:trPr>
          <w:trHeight w:val="229"/>
        </w:trPr>
        <w:tc>
          <w:tcPr>
            <w:tcW w:w="20" w:type="dxa"/>
            <w:vAlign w:val="bottom"/>
          </w:tcPr>
          <w:p>
            <w:pPr>
              <w:spacing w:after="0"/>
              <w:rPr>
                <w:sz w:val="19"/>
                <w:szCs w:val="19"/>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97.8</w:t>
            </w:r>
          </w:p>
        </w:tc>
      </w:tr>
      <w:tr>
        <w:trPr>
          <w:trHeight w:val="230"/>
        </w:trPr>
        <w:tc>
          <w:tcPr>
            <w:tcW w:w="20" w:type="dxa"/>
            <w:vAlign w:val="bottom"/>
          </w:tcPr>
          <w:p>
            <w:pPr>
              <w:spacing w:after="0"/>
              <w:rPr>
                <w:sz w:val="19"/>
                <w:szCs w:val="19"/>
                <w:color w:val="auto"/>
              </w:rPr>
            </w:pP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r>
      <w:tr>
        <w:trPr>
          <w:trHeight w:val="229"/>
        </w:trPr>
        <w:tc>
          <w:tcPr>
            <w:tcW w:w="20" w:type="dxa"/>
            <w:vAlign w:val="bottom"/>
          </w:tcPr>
          <w:p>
            <w:pPr>
              <w:spacing w:after="0"/>
              <w:rPr>
                <w:sz w:val="19"/>
                <w:szCs w:val="19"/>
                <w:color w:val="auto"/>
              </w:rPr>
            </w:pPr>
          </w:p>
        </w:tc>
        <w:tc>
          <w:tcPr>
            <w:tcW w:w="4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(401.1)</w:t>
            </w:r>
          </w:p>
        </w:tc>
      </w:tr>
      <w:tr>
        <w:trPr>
          <w:trHeight w:val="221"/>
        </w:trPr>
        <w:tc>
          <w:tcPr>
            <w:tcW w:w="20" w:type="dxa"/>
            <w:vAlign w:val="bottom"/>
          </w:tcPr>
          <w:p>
            <w:pPr>
              <w:spacing w:after="0"/>
              <w:rPr>
                <w:sz w:val="18"/>
                <w:szCs w:val="18"/>
                <w:color w:val="auto"/>
              </w:rPr>
            </w:pPr>
          </w:p>
        </w:tc>
        <w:tc>
          <w:tcPr>
            <w:tcW w:w="4180" w:type="dxa"/>
            <w:vAlign w:val="bottom"/>
            <w:tcBorders>
              <w:bottom w:val="single" w:sz="8" w:color="CCEEFF"/>
            </w:tcBorders>
            <w:gridSpan w:val="2"/>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998.5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(107.4)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1,110.9</w:t>
            </w: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54"/>
        </w:trPr>
        <w:tc>
          <w:tcPr>
            <w:tcW w:w="20" w:type="dxa"/>
            <w:vAlign w:val="bottom"/>
          </w:tcPr>
          <w:p>
            <w:pPr>
              <w:spacing w:after="0"/>
              <w:rPr>
                <w:sz w:val="21"/>
                <w:szCs w:val="21"/>
                <w:color w:val="auto"/>
              </w:rPr>
            </w:pPr>
          </w:p>
        </w:tc>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911.6</w:t>
            </w: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Net income (loss) per diluted common share</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3.12</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(0.91)</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(0.02)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4.05</w:t>
            </w:r>
          </w:p>
        </w:tc>
      </w:tr>
      <w:tr>
        <w:trPr>
          <w:trHeight w:val="21"/>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first nine months of fiscal 2025, the Company incurred charges as follows:</w:t>
      </w:r>
    </w:p>
    <w:p>
      <w:pPr>
        <w:spacing w:after="0" w:line="115" w:lineRule="exact"/>
        <w:rPr>
          <w:sz w:val="20"/>
          <w:szCs w:val="20"/>
          <w:color w:val="auto"/>
        </w:rPr>
      </w:pPr>
    </w:p>
    <w:p>
      <w:pPr>
        <w:ind w:left="660" w:hanging="328"/>
        <w:spacing w:after="0" w:line="284" w:lineRule="auto"/>
        <w:tabs>
          <w:tab w:leader="none" w:pos="655"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Acquisition and Divestiture Costs </w:t>
      </w:r>
      <w:r>
        <w:rPr>
          <w:rFonts w:ascii="Times New Roman" w:cs="Times New Roman" w:eastAsia="Times New Roman" w:hAnsi="Times New Roman"/>
          <w:sz w:val="18"/>
          <w:szCs w:val="18"/>
          <w:color w:val="auto"/>
        </w:rPr>
        <w:t>- Includes costs related to the terminated Capri Acquisition and the Stuart Weitzman Business Divestiture.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include:</w:t>
      </w:r>
    </w:p>
    <w:p>
      <w:pPr>
        <w:spacing w:after="0" w:line="50" w:lineRule="exact"/>
        <w:rPr>
          <w:rFonts w:ascii="Times New Roman" w:cs="Times New Roman" w:eastAsia="Times New Roman" w:hAnsi="Times New Roman"/>
          <w:sz w:val="18"/>
          <w:szCs w:val="18"/>
          <w:b w:val="1"/>
          <w:bCs w:val="1"/>
          <w:i w:val="1"/>
          <w:iCs w:val="1"/>
          <w:color w:val="auto"/>
        </w:rPr>
      </w:pPr>
    </w:p>
    <w:p>
      <w:pPr>
        <w:ind w:left="1300" w:hanging="320"/>
        <w:spacing w:after="0"/>
        <w:tabs>
          <w:tab w:leader="none" w:pos="1300"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Capri Acquisition Costs: </w:t>
      </w:r>
      <w:r>
        <w:rPr>
          <w:rFonts w:ascii="Times New Roman" w:cs="Times New Roman" w:eastAsia="Times New Roman" w:hAnsi="Times New Roman"/>
          <w:sz w:val="18"/>
          <w:szCs w:val="18"/>
          <w:color w:val="auto"/>
        </w:rPr>
        <w:t>Total pre-tax charges of $268.4 million primarily related to:</w:t>
      </w:r>
    </w:p>
    <w:p>
      <w:pPr>
        <w:spacing w:after="0" w:line="117" w:lineRule="exact"/>
        <w:rPr>
          <w:rFonts w:ascii="Times New Roman" w:cs="Times New Roman" w:eastAsia="Times New Roman" w:hAnsi="Times New Roman"/>
          <w:sz w:val="18"/>
          <w:szCs w:val="18"/>
          <w:b w:val="1"/>
          <w:bCs w:val="1"/>
          <w:color w:val="auto"/>
        </w:rPr>
      </w:pPr>
    </w:p>
    <w:p>
      <w:pPr>
        <w:jc w:val="both"/>
        <w:ind w:left="1960" w:hanging="332"/>
        <w:spacing w:after="0" w:line="267" w:lineRule="auto"/>
        <w:tabs>
          <w:tab w:leader="none" w:pos="1956" w:val="left"/>
        </w:tabs>
        <w:numPr>
          <w:ilvl w:val="2"/>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Loss on extinguishment of debt - </w:t>
      </w:r>
      <w:r>
        <w:rPr>
          <w:rFonts w:ascii="Times New Roman" w:cs="Times New Roman" w:eastAsia="Times New Roman" w:hAnsi="Times New Roman"/>
          <w:sz w:val="18"/>
          <w:szCs w:val="18"/>
          <w:color w:val="auto"/>
        </w:rPr>
        <w:t>$119.4 million primarily related to redemption premiums, as well as unamortized debt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and discounts, as a result of the redemption of the Capri Acquisition Senior Notes in the first nine months of fiscal 2025 due to the termination of the Capri Acquisition agreement;</w:t>
      </w:r>
    </w:p>
    <w:p>
      <w:pPr>
        <w:spacing w:after="0" w:line="65" w:lineRule="exact"/>
        <w:rPr>
          <w:rFonts w:ascii="Times New Roman" w:cs="Times New Roman" w:eastAsia="Times New Roman" w:hAnsi="Times New Roman"/>
          <w:sz w:val="18"/>
          <w:szCs w:val="18"/>
          <w:b w:val="1"/>
          <w:bCs w:val="1"/>
          <w:i w:val="1"/>
          <w:iCs w:val="1"/>
          <w:color w:val="auto"/>
        </w:rPr>
      </w:pPr>
    </w:p>
    <w:p>
      <w:pPr>
        <w:ind w:left="1960" w:hanging="332"/>
        <w:spacing w:after="0" w:line="284" w:lineRule="auto"/>
        <w:tabs>
          <w:tab w:leader="none" w:pos="1983" w:val="left"/>
        </w:tabs>
        <w:numPr>
          <w:ilvl w:val="2"/>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SG&amp;A expenses</w:t>
      </w:r>
      <w:r>
        <w:rPr>
          <w:rFonts w:ascii="Times New Roman" w:cs="Times New Roman" w:eastAsia="Times New Roman" w:hAnsi="Times New Roman"/>
          <w:sz w:val="18"/>
          <w:szCs w:val="18"/>
          <w:color w:val="auto"/>
        </w:rPr>
        <w:t>: $88.8 million primarily related to expense reimbursement payment made to Capri and professional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w:t>
      </w:r>
    </w:p>
    <w:p>
      <w:pPr>
        <w:spacing w:after="0" w:line="50" w:lineRule="exact"/>
        <w:rPr>
          <w:rFonts w:ascii="Times New Roman" w:cs="Times New Roman" w:eastAsia="Times New Roman" w:hAnsi="Times New Roman"/>
          <w:sz w:val="18"/>
          <w:szCs w:val="18"/>
          <w:b w:val="1"/>
          <w:bCs w:val="1"/>
          <w:color w:val="auto"/>
        </w:rPr>
      </w:pPr>
    </w:p>
    <w:p>
      <w:pPr>
        <w:ind w:left="1960" w:hanging="332"/>
        <w:spacing w:after="0" w:line="284" w:lineRule="auto"/>
        <w:tabs>
          <w:tab w:leader="none" w:pos="1956" w:val="left"/>
        </w:tabs>
        <w:numPr>
          <w:ilvl w:val="2"/>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$60.2 million of financing related charges which primarily includes the net impact of the Capri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Notes; and</w:t>
      </w:r>
    </w:p>
    <w:p>
      <w:pPr>
        <w:spacing w:after="0" w:line="50" w:lineRule="exact"/>
        <w:rPr>
          <w:rFonts w:ascii="Times New Roman" w:cs="Times New Roman" w:eastAsia="Times New Roman" w:hAnsi="Times New Roman"/>
          <w:sz w:val="18"/>
          <w:szCs w:val="18"/>
          <w:b w:val="1"/>
          <w:bCs w:val="1"/>
          <w:i w:val="1"/>
          <w:iCs w:val="1"/>
          <w:color w:val="auto"/>
        </w:rPr>
      </w:pPr>
    </w:p>
    <w:p>
      <w:pPr>
        <w:ind w:left="1300" w:right="20" w:hanging="320"/>
        <w:spacing w:after="0" w:line="284" w:lineRule="auto"/>
        <w:tabs>
          <w:tab w:leader="none" w:pos="1310" w:val="left"/>
        </w:tabs>
        <w:numPr>
          <w:ilvl w:val="1"/>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Stuart Weitzman Business Divestiture Costs</w:t>
      </w:r>
      <w:r>
        <w:rPr>
          <w:rFonts w:ascii="Times New Roman" w:cs="Times New Roman" w:eastAsia="Times New Roman" w:hAnsi="Times New Roman"/>
          <w:sz w:val="18"/>
          <w:szCs w:val="18"/>
          <w:color w:val="auto"/>
        </w:rPr>
        <w:t>: Total pre-tax charges of $18.6 million primarily due to the loss on business held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 impairment, professional fees and share-based compensation expense.</w:t>
      </w:r>
    </w:p>
    <w:p>
      <w:pPr>
        <w:spacing w:after="0" w:line="50"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Organizational Efficiency Costs </w:t>
      </w:r>
      <w:r>
        <w:rPr>
          <w:rFonts w:ascii="Times New Roman" w:cs="Times New Roman" w:eastAsia="Times New Roman" w:hAnsi="Times New Roman"/>
          <w:sz w:val="18"/>
          <w:szCs w:val="18"/>
          <w:color w:val="auto"/>
        </w:rPr>
        <w:t>- Total pre-tax charges of $5.0 million primarily related to severance costs and technology costs.</w:t>
      </w:r>
    </w:p>
    <w:p>
      <w:pPr>
        <w:spacing w:after="0" w:line="119" w:lineRule="exact"/>
        <w:rPr>
          <w:sz w:val="20"/>
          <w:szCs w:val="20"/>
          <w:color w:val="auto"/>
        </w:rPr>
      </w:pPr>
    </w:p>
    <w:p>
      <w:pPr>
        <w:jc w:val="both"/>
        <w:ind w:firstLine="249"/>
        <w:spacing w:after="0" w:line="266" w:lineRule="auto"/>
        <w:rPr>
          <w:sz w:val="20"/>
          <w:szCs w:val="20"/>
          <w:color w:val="auto"/>
        </w:rPr>
      </w:pPr>
      <w:r>
        <w:rPr>
          <w:rFonts w:ascii="Times New Roman" w:cs="Times New Roman" w:eastAsia="Times New Roman" w:hAnsi="Times New Roman"/>
          <w:sz w:val="18"/>
          <w:szCs w:val="18"/>
          <w:color w:val="auto"/>
        </w:rPr>
        <w:t>These actions taken together negatively impacted operating income by $112.4 million, increased Loss on extinguishment of debt by $119.4 million, increased interest expense by $60.2 million and reduced the provision for income tax by $80.7 million resulting in a net increase in net income by $211.3 million or $0.93 per diluted share.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4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Supplemental Segment Data</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Nine Months Ended March 29, 2025</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Items Affecting Comparability</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GAAP Basis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Acquisition and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Organizational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Non-GAAP Basis</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100" w:type="dxa"/>
            <w:vAlign w:val="bottom"/>
          </w:tcPr>
          <w:p>
            <w:pPr>
              <w:spacing w:after="0"/>
              <w:rPr>
                <w:sz w:val="20"/>
                <w:szCs w:val="20"/>
                <w:color w:val="auto"/>
              </w:rPr>
            </w:pP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Divestiture Costs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Efficiency Costs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(Excluding Items)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300" w:type="dxa"/>
            <w:vAlign w:val="bottom"/>
            <w:tcBorders>
              <w:top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1,825.3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106.8</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SG&amp;A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2,975.3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107.4</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2,862.9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First Nine Months of Fiscal 2024 Items</w:t>
            </w: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06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13"/>
          </w:tcPr>
          <w:p>
            <w:pPr>
              <w:jc w:val="center"/>
              <w:ind w:right="100"/>
              <w:spacing w:after="0"/>
              <w:rPr>
                <w:sz w:val="20"/>
                <w:szCs w:val="20"/>
                <w:color w:val="auto"/>
              </w:rPr>
            </w:pPr>
            <w:r>
              <w:rPr>
                <w:rFonts w:ascii="Times New Roman" w:cs="Times New Roman" w:eastAsia="Times New Roman" w:hAnsi="Times New Roman"/>
                <w:sz w:val="18"/>
                <w:szCs w:val="18"/>
                <w:color w:val="auto"/>
                <w:w w:val="99"/>
              </w:rPr>
              <w:t>Nine Months Ended March 30, 2024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color w:val="auto"/>
                <w:w w:val="99"/>
              </w:rPr>
              <w:t>Items Affecting Comparability</w:t>
            </w:r>
          </w:p>
        </w:tc>
        <w:tc>
          <w:tcPr>
            <w:tcW w:w="1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300"/>
              <w:spacing w:after="0" w:line="169" w:lineRule="exact"/>
              <w:rPr>
                <w:sz w:val="20"/>
                <w:szCs w:val="20"/>
                <w:color w:val="auto"/>
              </w:rPr>
            </w:pPr>
            <w:r>
              <w:rPr>
                <w:rFonts w:ascii="Times New Roman" w:cs="Times New Roman" w:eastAsia="Times New Roman" w:hAnsi="Times New Roman"/>
                <w:sz w:val="18"/>
                <w:szCs w:val="18"/>
                <w:color w:val="auto"/>
              </w:rPr>
              <w:t>GAAP Basis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right"/>
              <w:ind w:right="260"/>
              <w:spacing w:after="0" w:line="169" w:lineRule="exact"/>
              <w:rPr>
                <w:sz w:val="20"/>
                <w:szCs w:val="20"/>
                <w:color w:val="auto"/>
              </w:rPr>
            </w:pPr>
            <w:r>
              <w:rPr>
                <w:rFonts w:ascii="Times New Roman" w:cs="Times New Roman" w:eastAsia="Times New Roman" w:hAnsi="Times New Roman"/>
                <w:sz w:val="18"/>
                <w:szCs w:val="18"/>
                <w:color w:val="auto"/>
                <w:w w:val="98"/>
              </w:rPr>
              <w:t>Non-GAAP Basis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(As Reported)</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Acquisition Costs</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(Excluding Items)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6"/>
          </w:tcPr>
          <w:p>
            <w:pPr>
              <w:jc w:val="center"/>
              <w:ind w:right="30"/>
              <w:spacing w:after="0"/>
              <w:rPr>
                <w:sz w:val="20"/>
                <w:szCs w:val="20"/>
                <w:color w:val="auto"/>
              </w:rPr>
            </w:pPr>
            <w:r>
              <w:rPr>
                <w:rFonts w:ascii="Times New Roman" w:cs="Times New Roman" w:eastAsia="Times New Roman" w:hAnsi="Times New Roman"/>
                <w:sz w:val="14"/>
                <w:szCs w:val="14"/>
                <w:color w:val="auto"/>
              </w:rPr>
              <w:t>(millions, except per share data)</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Coach</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20" w:type="dxa"/>
            <w:vAlign w:val="bottom"/>
            <w:shd w:val="clear" w:color="auto" w:fill="CCEEFF"/>
          </w:tcPr>
          <w:p>
            <w:pPr>
              <w:spacing w:after="0"/>
              <w:rPr>
                <w:sz w:val="20"/>
                <w:szCs w:val="20"/>
                <w:color w:val="auto"/>
              </w:rPr>
            </w:pP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1,262.3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Kate Spade</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Stuart Weitzman</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(371.1)</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20" w:type="dxa"/>
            <w:vAlign w:val="bottom"/>
            <w:tcBorders>
              <w:top w:val="single" w:sz="8" w:color="CCEEFF"/>
            </w:tcBorders>
            <w:gridSpan w:val="4"/>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0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020" w:type="dxa"/>
            <w:vAlign w:val="bottom"/>
            <w:gridSpan w:val="4"/>
          </w:tcPr>
          <w:p>
            <w:pPr>
              <w:spacing w:after="0" w:line="203" w:lineRule="exact"/>
              <w:rPr>
                <w:sz w:val="20"/>
                <w:szCs w:val="20"/>
                <w:color w:val="auto"/>
              </w:rPr>
            </w:pPr>
            <w:r>
              <w:rPr>
                <w:rFonts w:ascii="Times New Roman" w:cs="Times New Roman" w:eastAsia="Times New Roman" w:hAnsi="Times New Roman"/>
                <w:sz w:val="18"/>
                <w:szCs w:val="18"/>
                <w:color w:val="auto"/>
              </w:rPr>
              <w:t>Net income (loss) per diluted common share</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2.82</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(0.54)</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gridSpan w:val="2"/>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first nine months of fiscal 2024, the Company incurred charges as follows:</w:t>
      </w:r>
    </w:p>
    <w:p>
      <w:pPr>
        <w:spacing w:after="0" w:line="11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Acquisition Costs </w:t>
      </w:r>
      <w:r>
        <w:rPr>
          <w:rFonts w:ascii="Times New Roman" w:cs="Times New Roman" w:eastAsia="Times New Roman" w:hAnsi="Times New Roman"/>
          <w:sz w:val="18"/>
          <w:szCs w:val="18"/>
          <w:color w:val="auto"/>
        </w:rPr>
        <w:t>- Total pre-tax charges of $166.6 million attributable to the Capri Acquisition. These charges include:</w:t>
      </w:r>
    </w:p>
    <w:p>
      <w:pPr>
        <w:spacing w:after="0" w:line="117" w:lineRule="exact"/>
        <w:rPr>
          <w:rFonts w:ascii="Times New Roman" w:cs="Times New Roman" w:eastAsia="Times New Roman" w:hAnsi="Times New Roman"/>
          <w:sz w:val="18"/>
          <w:szCs w:val="18"/>
          <w:b w:val="1"/>
          <w:bCs w:val="1"/>
          <w:i w:val="1"/>
          <w:iCs w:val="1"/>
          <w:color w:val="auto"/>
        </w:rPr>
      </w:pPr>
    </w:p>
    <w:p>
      <w:pPr>
        <w:ind w:left="1300" w:hanging="320"/>
        <w:spacing w:after="0" w:line="284" w:lineRule="auto"/>
        <w:tabs>
          <w:tab w:leader="none" w:pos="1296"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$83.7 million of financing related charges, which primarily includes the net impact of the Capri Acquisition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and Bridge Facility financing fees;</w:t>
      </w:r>
    </w:p>
    <w:p>
      <w:pPr>
        <w:spacing w:after="0" w:line="50"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SG&amp;A expenses</w:t>
      </w:r>
      <w:r>
        <w:rPr>
          <w:rFonts w:ascii="Times New Roman" w:cs="Times New Roman" w:eastAsia="Times New Roman" w:hAnsi="Times New Roman"/>
          <w:sz w:val="18"/>
          <w:szCs w:val="18"/>
          <w:color w:val="auto"/>
        </w:rPr>
        <w:t>: $82.9 million primarily related to professional fees recorded within Corporate.</w:t>
      </w:r>
    </w:p>
    <w:p>
      <w:pPr>
        <w:spacing w:after="0" w:line="119" w:lineRule="exact"/>
        <w:rPr>
          <w:sz w:val="20"/>
          <w:szCs w:val="20"/>
          <w:color w:val="auto"/>
        </w:rPr>
      </w:pPr>
    </w:p>
    <w:p>
      <w:pPr>
        <w:ind w:firstLine="332"/>
        <w:spacing w:after="0" w:line="282" w:lineRule="auto"/>
        <w:rPr>
          <w:sz w:val="20"/>
          <w:szCs w:val="20"/>
          <w:color w:val="auto"/>
        </w:rPr>
      </w:pPr>
      <w:r>
        <w:rPr>
          <w:rFonts w:ascii="Times New Roman" w:cs="Times New Roman" w:eastAsia="Times New Roman" w:hAnsi="Times New Roman"/>
          <w:sz w:val="18"/>
          <w:szCs w:val="18"/>
          <w:color w:val="auto"/>
        </w:rPr>
        <w:t>These actions taken together negatively impacted operating income by $82.9 million, increased interest expense by $83.7 million and reduced the provision for income tax by $40.2 million resulting in a net decrease in net income by $126.4 million or $0.54 per diluted share.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6" w:right="3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Segment Data</w:t>
            </w: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85"/>
        </w:trPr>
        <w:tc>
          <w:tcPr>
            <w:tcW w:w="206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7"/>
          </w:tcPr>
          <w:p>
            <w:pPr>
              <w:jc w:val="center"/>
              <w:ind w:right="170"/>
              <w:spacing w:after="0"/>
              <w:rPr>
                <w:sz w:val="20"/>
                <w:szCs w:val="20"/>
                <w:color w:val="auto"/>
              </w:rPr>
            </w:pPr>
            <w:r>
              <w:rPr>
                <w:rFonts w:ascii="Times New Roman" w:cs="Times New Roman" w:eastAsia="Times New Roman" w:hAnsi="Times New Roman"/>
                <w:sz w:val="18"/>
                <w:szCs w:val="18"/>
                <w:color w:val="auto"/>
                <w:w w:val="99"/>
              </w:rPr>
              <w:t>Nine Months Ended March 30, 2024</w:t>
            </w:r>
          </w:p>
        </w:tc>
      </w:tr>
      <w:tr>
        <w:trPr>
          <w:trHeight w:val="223"/>
        </w:trPr>
        <w:tc>
          <w:tcPr>
            <w:tcW w:w="20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Items Affecting Comparability</w:t>
            </w:r>
          </w:p>
        </w:tc>
        <w:tc>
          <w:tcPr>
            <w:tcW w:w="1680" w:type="dxa"/>
            <w:vAlign w:val="bottom"/>
            <w:tcBorders>
              <w:bottom w:val="single" w:sz="8" w:color="auto"/>
            </w:tcBorders>
          </w:tcPr>
          <w:p>
            <w:pPr>
              <w:spacing w:after="0"/>
              <w:rPr>
                <w:sz w:val="19"/>
                <w:szCs w:val="19"/>
                <w:color w:val="auto"/>
              </w:rPr>
            </w:pPr>
          </w:p>
        </w:tc>
      </w:tr>
      <w:tr>
        <w:trPr>
          <w:trHeight w:val="169"/>
        </w:trPr>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GAAP Basis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Non-GAAP Basis</w:t>
            </w:r>
          </w:p>
        </w:tc>
      </w:tr>
      <w:tr>
        <w:trPr>
          <w:trHeight w:val="243"/>
        </w:trPr>
        <w:tc>
          <w:tcPr>
            <w:tcW w:w="20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(As Reported)</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Acquisition Costs</w:t>
            </w: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(Excluding Items)</w:t>
            </w:r>
          </w:p>
        </w:tc>
      </w:tr>
      <w:tr>
        <w:trPr>
          <w:trHeight w:val="189"/>
        </w:trPr>
        <w:tc>
          <w:tcPr>
            <w:tcW w:w="2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(millions)</w:t>
            </w:r>
          </w:p>
        </w:tc>
        <w:tc>
          <w:tcPr>
            <w:tcW w:w="3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7"/>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020" w:type="dxa"/>
            <w:vAlign w:val="bottom"/>
            <w:gridSpan w:val="2"/>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1,644.1</w:t>
            </w:r>
          </w:p>
        </w:tc>
      </w:tr>
      <w:tr>
        <w:trPr>
          <w:trHeight w:val="23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r>
      <w:tr>
        <w:trPr>
          <w:trHeight w:val="229"/>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1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30"/>
        </w:trPr>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7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w:t>
            </w:r>
          </w:p>
        </w:tc>
      </w:tr>
      <w:tr>
        <w:trPr>
          <w:trHeight w:val="248"/>
        </w:trPr>
        <w:tc>
          <w:tcPr>
            <w:tcW w:w="38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SG&amp;A expenses</w:t>
            </w:r>
          </w:p>
        </w:tc>
        <w:tc>
          <w:tcPr>
            <w:tcW w:w="1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2,710.3</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2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20" w:type="dxa"/>
            <w:vAlign w:val="bottom"/>
            <w:gridSpan w:val="2"/>
          </w:tcPr>
          <w:p>
            <w:pPr>
              <w:jc w:val="center"/>
              <w:ind w:left="1550"/>
              <w:spacing w:after="0"/>
              <w:rPr>
                <w:sz w:val="20"/>
                <w:szCs w:val="20"/>
                <w:color w:val="auto"/>
              </w:rPr>
            </w:pPr>
            <w:r>
              <w:rPr>
                <w:rFonts w:ascii="Times New Roman" w:cs="Times New Roman" w:eastAsia="Times New Roman" w:hAnsi="Times New Roman"/>
                <w:sz w:val="18"/>
                <w:szCs w:val="18"/>
                <w:color w:val="auto"/>
                <w:w w:val="99"/>
              </w:rPr>
              <w:t>47</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20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Tapestry, Inc. Summary – First Nine Months of Fiscal 2025</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Currency Fluctuation Effects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net sales for the first nine months of fiscal 2025 compared to the first nine months of fiscal 2024 has been presented both including and excluding currency fluctuation impacts. All percentages shown in the tables below and the discussion that follows have been calculated using unrounded numbers.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60" w:type="dxa"/>
            <w:vAlign w:val="bottom"/>
          </w:tcPr>
          <w:p>
            <w:pPr>
              <w:spacing w:after="0"/>
              <w:rPr>
                <w:sz w:val="24"/>
                <w:szCs w:val="24"/>
                <w:color w:val="auto"/>
              </w:rPr>
            </w:pPr>
          </w:p>
        </w:tc>
        <w:tc>
          <w:tcPr>
            <w:tcW w:w="17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Variance</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Constant Currency</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March 30, 2024</w:t>
            </w: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Amount</w:t>
            </w:r>
          </w:p>
        </w:tc>
        <w:tc>
          <w:tcPr>
            <w:tcW w:w="10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4,173.4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8.5 %</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9"/>
              </w:rPr>
              <w:t>9.0 %</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5,287.5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5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sales in the first nine months of fiscal 2025 increased 4.1% or $207.4 million to $5.29 billion. Excluding the impact of foreign currency, net sales increased by 4.5% or $229.0 million.</w:t>
      </w:r>
    </w:p>
    <w:p>
      <w:pPr>
        <w:spacing w:after="0" w:line="52" w:lineRule="exact"/>
        <w:rPr>
          <w:sz w:val="20"/>
          <w:szCs w:val="20"/>
          <w:color w:val="auto"/>
        </w:rPr>
      </w:pPr>
    </w:p>
    <w:p>
      <w:pPr>
        <w:jc w:val="both"/>
        <w:ind w:left="660" w:hanging="328"/>
        <w:spacing w:after="0" w:line="261" w:lineRule="auto"/>
        <w:tabs>
          <w:tab w:leader="none" w:pos="65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Coach Net Sales </w:t>
      </w:r>
      <w:r>
        <w:rPr>
          <w:rFonts w:ascii="Times New Roman" w:cs="Times New Roman" w:eastAsia="Times New Roman" w:hAnsi="Times New Roman"/>
          <w:sz w:val="18"/>
          <w:szCs w:val="18"/>
          <w:color w:val="auto"/>
        </w:rPr>
        <w:t>increased 8.5% or $328.5 million to $4.17 billion in the first nine months of fiscal 2025. Excluding the impact of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net sales increased 9.0% or $346.9 million. This increase in net sales was primarily due to an increase of $317.9 million in DTC sales as a result of an increase in both e-commerce and store sales, mainly driven by North America and Europe. The increase in net sales was also attributed to a $46.7 million increase in wholesale sales, mainly driven by Europe and North America.</w:t>
      </w:r>
    </w:p>
    <w:p>
      <w:pPr>
        <w:spacing w:after="0" w:line="71" w:lineRule="exact"/>
        <w:rPr>
          <w:rFonts w:ascii="Times New Roman" w:cs="Times New Roman" w:eastAsia="Times New Roman" w:hAnsi="Times New Roman"/>
          <w:sz w:val="18"/>
          <w:szCs w:val="18"/>
          <w:b w:val="1"/>
          <w:bCs w:val="1"/>
          <w:color w:val="auto"/>
        </w:rPr>
      </w:pPr>
    </w:p>
    <w:p>
      <w:pPr>
        <w:jc w:val="both"/>
        <w:ind w:left="660" w:hanging="328"/>
        <w:spacing w:after="0" w:line="261" w:lineRule="auto"/>
        <w:tabs>
          <w:tab w:leader="none" w:pos="655"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Kate Spade Net Sales </w:t>
      </w:r>
      <w:r>
        <w:rPr>
          <w:rFonts w:ascii="Times New Roman" w:cs="Times New Roman" w:eastAsia="Times New Roman" w:hAnsi="Times New Roman"/>
          <w:sz w:val="18"/>
          <w:szCs w:val="18"/>
          <w:color w:val="auto"/>
        </w:rPr>
        <w:t>decreased 9.6% or $99.8 million to $944.5 million in the first nine months of fiscal 2025. Excluding the impact of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net sales decreased 9.2% or $96.5 million. This decrease in net sales was due to a decrease of $105.5 million in DTC sales as a result of lower store and to a lesser extent, e-commerce sales. The decrease in DTC sales was partially offset by an increase of $8.1 million in wholesale sales.</w:t>
      </w:r>
    </w:p>
    <w:p>
      <w:pPr>
        <w:spacing w:after="0" w:line="71" w:lineRule="exact"/>
        <w:rPr>
          <w:rFonts w:ascii="Times New Roman" w:cs="Times New Roman" w:eastAsia="Times New Roman" w:hAnsi="Times New Roman"/>
          <w:sz w:val="18"/>
          <w:szCs w:val="18"/>
          <w:b w:val="1"/>
          <w:bCs w:val="1"/>
          <w:i w:val="1"/>
          <w:iCs w:val="1"/>
          <w:color w:val="auto"/>
        </w:rPr>
      </w:pPr>
    </w:p>
    <w:p>
      <w:pPr>
        <w:ind w:left="660" w:right="20" w:hanging="328"/>
        <w:spacing w:after="0" w:line="284" w:lineRule="auto"/>
        <w:tabs>
          <w:tab w:leader="none" w:pos="655"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Stuart Weitzman Net Sales </w:t>
      </w:r>
      <w:r>
        <w:rPr>
          <w:rFonts w:ascii="Times New Roman" w:cs="Times New Roman" w:eastAsia="Times New Roman" w:hAnsi="Times New Roman"/>
          <w:sz w:val="18"/>
          <w:szCs w:val="18"/>
          <w:color w:val="auto"/>
        </w:rPr>
        <w:t>decreased 11.2% or $21.3 million to $169.6 million in the first nine months of fiscal 2025. Excluding the impact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currency, net sales decreased 11.2% or $21.4 million.</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64"/>
        </w:trPr>
        <w:tc>
          <w:tcPr>
            <w:tcW w:w="2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3"/>
        </w:trPr>
        <w:tc>
          <w:tcPr>
            <w:tcW w:w="2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30, 2024</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color w:val="auto"/>
              </w:rPr>
              <w:t>Variance</w:t>
            </w:r>
          </w:p>
        </w:tc>
        <w:tc>
          <w:tcPr>
            <w:tcW w:w="1000" w:type="dxa"/>
            <w:vAlign w:val="bottom"/>
            <w:tcBorders>
              <w:bottom w:val="single" w:sz="8" w:color="auto"/>
            </w:tcBorders>
          </w:tcPr>
          <w:p>
            <w:pPr>
              <w:spacing w:after="0"/>
              <w:rPr>
                <w:sz w:val="19"/>
                <w:szCs w:val="19"/>
                <w:color w:val="auto"/>
              </w:rPr>
            </w:pPr>
          </w:p>
        </w:tc>
      </w:tr>
      <w:tr>
        <w:trPr>
          <w:trHeight w:val="184"/>
        </w:trPr>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2"/>
        </w:trPr>
        <w:tc>
          <w:tcPr>
            <w:tcW w:w="2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1"/>
                <w:szCs w:val="21"/>
                <w:color w:val="auto"/>
              </w:rPr>
            </w:pP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1"/>
                <w:szCs w:val="21"/>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1"/>
                <w:szCs w:val="21"/>
                <w:color w:val="auto"/>
              </w:rPr>
            </w:pPr>
          </w:p>
        </w:tc>
        <w:tc>
          <w:tcPr>
            <w:tcW w:w="1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Amount</w:t>
            </w:r>
          </w:p>
        </w:tc>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3,252.9</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w w:val="99"/>
              </w:rPr>
              <w:t>77.9 %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2,906.4</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75.6 %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346.5</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626.4</w:t>
            </w:r>
          </w:p>
        </w:tc>
        <w:tc>
          <w:tcPr>
            <w:tcW w:w="16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66.3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6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w:t>
            </w:r>
          </w:p>
        </w:tc>
        <w:tc>
          <w:tcPr>
            <w:tcW w:w="16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55.7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Tapestry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3,973.8</w:t>
            </w:r>
          </w:p>
        </w:tc>
        <w:tc>
          <w:tcPr>
            <w:tcW w:w="16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75.2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3,698.3</w:t>
            </w:r>
          </w:p>
        </w:tc>
        <w:tc>
          <w:tcPr>
            <w:tcW w:w="16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275.5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Gross profit increased 7.5% or $275.5 million to $3.97 billion in the first nine months of fiscal 2025 from $3.70 billion in the first nine months of fiscal 2024. Gross margin increased 240 basis points to 75.2% in the first nine months of fiscal 2025 from 72.8% in the first nine months of fiscal 2024. This increase in Gross margin was primarily attributed to net pricing improvements.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includes inbound product-related transportation costs from our service providers within Cost of sales. The Company, similar to some companies, includes certain transportation-related costs due to our distribution network in SG&amp;A expenses rather than in Cost of sales; for this reason, our gross margins may not be comparable to that of entities that include all costs related to their distribution network in Cost of sales.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8"/>
        </w:trPr>
        <w:tc>
          <w:tcPr>
            <w:tcW w:w="52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 ("SG&amp;A")</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64"/>
        </w:trPr>
        <w:tc>
          <w:tcPr>
            <w:tcW w:w="2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3"/>
        </w:trPr>
        <w:tc>
          <w:tcPr>
            <w:tcW w:w="2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March 30, 2024</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color w:val="auto"/>
              </w:rPr>
              <w:t>Variance</w:t>
            </w:r>
          </w:p>
        </w:tc>
        <w:tc>
          <w:tcPr>
            <w:tcW w:w="1000" w:type="dxa"/>
            <w:vAlign w:val="bottom"/>
            <w:tcBorders>
              <w:bottom w:val="single" w:sz="8" w:color="auto"/>
            </w:tcBorders>
          </w:tcPr>
          <w:p>
            <w:pPr>
              <w:spacing w:after="0"/>
              <w:rPr>
                <w:sz w:val="19"/>
                <w:szCs w:val="19"/>
                <w:color w:val="auto"/>
              </w:rPr>
            </w:pPr>
          </w:p>
        </w:tc>
      </w:tr>
      <w:tr>
        <w:trPr>
          <w:trHeight w:val="184"/>
        </w:trPr>
        <w:tc>
          <w:tcPr>
            <w:tcW w:w="2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2"/>
        </w:trPr>
        <w:tc>
          <w:tcPr>
            <w:tcW w:w="2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1"/>
                <w:szCs w:val="21"/>
                <w:color w:val="auto"/>
              </w:rPr>
            </w:pP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1"/>
                <w:szCs w:val="21"/>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1"/>
                <w:szCs w:val="21"/>
                <w:color w:val="auto"/>
              </w:rPr>
            </w:pPr>
          </w:p>
        </w:tc>
        <w:tc>
          <w:tcPr>
            <w:tcW w:w="1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Amount</w:t>
            </w:r>
          </w:p>
        </w:tc>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1,825.3</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w w:val="99"/>
              </w:rPr>
              <w:t>43.6 %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1,644.1</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42.7 %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29"/>
        </w:trPr>
        <w:tc>
          <w:tcPr>
            <w:tcW w:w="2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Kate Spade</w:t>
            </w:r>
            <w:r>
              <w:rPr>
                <w:rFonts w:ascii="Times New Roman" w:cs="Times New Roman" w:eastAsia="Times New Roman" w:hAnsi="Times New Roman"/>
                <w:sz w:val="23"/>
                <w:szCs w:val="23"/>
                <w:b w:val="1"/>
                <w:bCs w:val="1"/>
                <w:color w:val="auto"/>
                <w:vertAlign w:val="superscript"/>
              </w:rPr>
              <w:t>(1)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531.4</w:t>
            </w:r>
          </w:p>
        </w:tc>
        <w:tc>
          <w:tcPr>
            <w:tcW w:w="16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56.3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6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2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Stuart Weitzman</w:t>
            </w:r>
            <w:r>
              <w:rPr>
                <w:rFonts w:ascii="Times New Roman" w:cs="Times New Roman" w:eastAsia="Times New Roman" w:hAnsi="Times New Roman"/>
                <w:sz w:val="23"/>
                <w:szCs w:val="23"/>
                <w:b w:val="1"/>
                <w:bCs w:val="1"/>
                <w:color w:val="auto"/>
                <w:vertAlign w:val="superscript"/>
              </w:rPr>
              <w:t>(2)</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108.5</w:t>
            </w:r>
          </w:p>
        </w:tc>
        <w:tc>
          <w:tcPr>
            <w:tcW w:w="16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64.0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6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21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23"/>
                <w:szCs w:val="23"/>
                <w:b w:val="1"/>
                <w:bCs w:val="1"/>
                <w:color w:val="auto"/>
                <w:vertAlign w:val="superscript"/>
              </w:rPr>
              <w:t>(3)(4)</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510.1</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NA</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gridSpan w:val="2"/>
          </w:tcPr>
          <w:p>
            <w:pPr>
              <w:ind w:left="100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r>
      <w:tr>
        <w:trPr>
          <w:trHeight w:val="248"/>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Tapestry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2,975.3</w:t>
            </w:r>
          </w:p>
        </w:tc>
        <w:tc>
          <w:tcPr>
            <w:tcW w:w="162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2,793.2</w:t>
            </w:r>
          </w:p>
        </w:tc>
        <w:tc>
          <w:tcPr>
            <w:tcW w:w="160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SG&amp;A expenses increased 6.5% or $182.1 million to $2.98 billion in the first nine months of fiscal 2025 as compared to $2.79 billion in the first nine months of fiscal 2024. As a percentage of net sales, SG&amp;A expenses increased to 56.3% during the first nine months of fiscal 2025 from 55.0% during the first nine months of fiscal 2024. Excluding items affecting comparability of $112.4 million in the first nine months of fiscal 2025, SG&amp;A expenses increased 5.6% or $152.6 million to $2.86 billion from $2.71 billion in the first nine months of fiscal 2024. SG&amp;A expenses as a percentage of net sales increased 80 basis points to 54.1% compared to 53.3% in the first nine months of fiscal 2024. This increase in SG&amp;A as a percentage of net sales was primarily due to higher marketing spend and higher compensation costs driven by accrued incentive compensation, partially offset by leverage of fixed costs on higher net sales.</w:t>
      </w:r>
    </w:p>
    <w:p>
      <w:pPr>
        <w:spacing w:after="0" w:line="81" w:lineRule="exact"/>
        <w:rPr>
          <w:sz w:val="20"/>
          <w:szCs w:val="20"/>
          <w:color w:val="auto"/>
        </w:rPr>
      </w:pPr>
    </w:p>
    <w:p>
      <w:pPr>
        <w:jc w:val="both"/>
        <w:ind w:left="340" w:hanging="332"/>
        <w:spacing w:after="0" w:line="239" w:lineRule="auto"/>
        <w:tabs>
          <w:tab w:leader="none" w:pos="534"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first nine months of fiscal 2025, Kate Spade incurred charges affecting comparability of $2.8 million. Excluding those items affecting comparability, SG&amp;A expenses decreased 7.0% or $39.6 million to $528.6 million in the first nine months of fiscal 2025 as compared to $568.2 million in the first nine months of fiscal 2024. SG&amp;A as a percentage of net sales increased 160 basis points to 56.0% in the first nine months of fiscal 2025 as compared to 54.4% in the first nine months of fiscal 2024.</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9" w:lineRule="auto"/>
        <w:tabs>
          <w:tab w:leader="none" w:pos="458"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first nine months of fiscal 2025, Stuart Weitzman incurred charges affecting comparability of $0.6 million. Excluding those items affecting comparability, SG&amp;A expenses decreased 15.0% or $19 million to $107.9 million in the first nine months of fiscal 2025 as compared to $126.9 million in the first nine months of fiscal 2024. SG&amp;A as a percentage of net sales decreased 280 basis points to 63.6% in the first nine months of fiscal 2025 as compared to 66.4% in the first nine months of fiscal 2024.</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526"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first nine months of fiscal 2025, Corporate incurred charges affecting comparability of $109.0 million. Excluding those items affecting comparability, SG&amp;A expenses increased 8.1% or $30.0 million to $401.1 million in the first nine months of fiscal 2025 as compared to $371.1 million in the first nine months of fiscal 2024.</w:t>
      </w:r>
    </w:p>
    <w:p>
      <w:pPr>
        <w:spacing w:after="0" w:line="61" w:lineRule="exact"/>
        <w:rPr>
          <w:rFonts w:ascii="Times New Roman" w:cs="Times New Roman" w:eastAsia="Times New Roman" w:hAnsi="Times New Roman"/>
          <w:sz w:val="23"/>
          <w:szCs w:val="23"/>
          <w:color w:val="auto"/>
          <w:vertAlign w:val="superscript"/>
        </w:rPr>
      </w:pPr>
    </w:p>
    <w:p>
      <w:pPr>
        <w:ind w:left="260" w:hanging="252"/>
        <w:spacing w:after="0"/>
        <w:tabs>
          <w:tab w:leader="none" w:pos="26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expenses, which are included within SG&amp;A expenses discussed above but are not directly attributable to a reportable segment.</w:t>
      </w:r>
    </w:p>
    <w:p>
      <w:pPr>
        <w:spacing w:after="0" w:line="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3"/>
        </w:trPr>
        <w:tc>
          <w:tcPr>
            <w:tcW w:w="2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30, 2024</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color w:val="auto"/>
              </w:rPr>
              <w:t>Variance</w:t>
            </w:r>
          </w:p>
        </w:tc>
        <w:tc>
          <w:tcPr>
            <w:tcW w:w="1000" w:type="dxa"/>
            <w:vAlign w:val="bottom"/>
            <w:tcBorders>
              <w:bottom w:val="single" w:sz="8" w:color="auto"/>
            </w:tcBorders>
          </w:tcPr>
          <w:p>
            <w:pPr>
              <w:spacing w:after="0"/>
              <w:rPr>
                <w:sz w:val="19"/>
                <w:szCs w:val="19"/>
                <w:color w:val="auto"/>
              </w:rPr>
            </w:pPr>
          </w:p>
        </w:tc>
      </w:tr>
      <w:tr>
        <w:trPr>
          <w:trHeight w:val="184"/>
        </w:trPr>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2"/>
        </w:trPr>
        <w:tc>
          <w:tcPr>
            <w:tcW w:w="2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1"/>
                <w:szCs w:val="21"/>
                <w:color w:val="auto"/>
              </w:rPr>
            </w:pP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1"/>
                <w:szCs w:val="21"/>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1"/>
                <w:szCs w:val="21"/>
                <w:color w:val="auto"/>
              </w:rPr>
            </w:pPr>
          </w:p>
        </w:tc>
        <w:tc>
          <w:tcPr>
            <w:tcW w:w="1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Amount</w:t>
            </w:r>
          </w:p>
        </w:tc>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1,427.6</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w w:val="99"/>
              </w:rPr>
              <w:t>34.3 %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32.9 %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13.1 %</w:t>
            </w: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16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6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(510.1)</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NA</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NA</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(12.4)</w:t>
            </w:r>
          </w:p>
        </w:tc>
      </w:tr>
      <w:tr>
        <w:trPr>
          <w:trHeight w:val="248"/>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Tapestry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998.5</w:t>
            </w:r>
          </w:p>
        </w:tc>
        <w:tc>
          <w:tcPr>
            <w:tcW w:w="162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60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Operating income increased $93.4 million to $1.00 billion in the first nine months of fiscal 2025 as compared to $905.1 million in the first nine months of fiscal 2024. Operating margin increased to 18.9% in the first nine months of fiscal 2025 as compared to 17.8% in the first nine months of fiscal 2024. Excluding items affecting comparability of $112.4 million in the first nine months of fiscal 2025, operating income increased $122.9 million to $1.11 billion from $988.0 million in the first nine months of fiscal 2024; and operating margin increased 160 basis points to 21.0% in the first nine months of fiscal 2025 as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2" w:name="page53"/>
    <w:bookmarkEnd w:id="52"/>
    <w:p>
      <w:pPr>
        <w:spacing w:after="0" w:line="282" w:lineRule="auto"/>
        <w:rPr>
          <w:sz w:val="20"/>
          <w:szCs w:val="20"/>
          <w:color w:val="auto"/>
        </w:rPr>
      </w:pPr>
      <w:r>
        <w:rPr>
          <w:rFonts w:ascii="Times New Roman" w:cs="Times New Roman" w:eastAsia="Times New Roman" w:hAnsi="Times New Roman"/>
          <w:sz w:val="18"/>
          <w:szCs w:val="18"/>
          <w:color w:val="auto"/>
        </w:rPr>
        <w:t>compared to 19.4% in the first nine months of fiscal 2024. This increase in operating margin was primarily attributed to a 240 basis points increase in gross margin partially offset by an increase of 80 basis points in SG&amp;A as a percentage of sales.</w:t>
      </w:r>
    </w:p>
    <w:p>
      <w:pPr>
        <w:spacing w:after="0" w:line="52" w:lineRule="exact"/>
        <w:rPr>
          <w:sz w:val="20"/>
          <w:szCs w:val="20"/>
          <w:color w:val="auto"/>
        </w:rPr>
      </w:pPr>
    </w:p>
    <w:p>
      <w:pPr>
        <w:jc w:val="both"/>
        <w:ind w:left="660" w:hanging="328"/>
        <w:spacing w:after="0" w:line="267" w:lineRule="auto"/>
        <w:tabs>
          <w:tab w:leader="none" w:pos="655"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Coach Operating Income </w:t>
      </w:r>
      <w:r>
        <w:rPr>
          <w:rFonts w:ascii="Times New Roman" w:cs="Times New Roman" w:eastAsia="Times New Roman" w:hAnsi="Times New Roman"/>
          <w:sz w:val="18"/>
          <w:szCs w:val="18"/>
          <w:color w:val="auto"/>
        </w:rPr>
        <w:t>increased $165.3 million to $1.43 billion in the first nine months of fiscal 2025, resulting in an operating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140 basis points to 34.3%, as compared to $1.26 billion and 32.9%, respectively, in the first nine months of fiscal 2024. This increase in operating margin was primarily attributed to:</w:t>
      </w:r>
    </w:p>
    <w:p>
      <w:pPr>
        <w:spacing w:after="0" w:line="65" w:lineRule="exact"/>
        <w:rPr>
          <w:rFonts w:ascii="Times New Roman" w:cs="Times New Roman" w:eastAsia="Times New Roman" w:hAnsi="Times New Roman"/>
          <w:sz w:val="18"/>
          <w:szCs w:val="18"/>
          <w:b w:val="1"/>
          <w:bCs w:val="1"/>
          <w:i w:val="1"/>
          <w:iCs w:val="1"/>
          <w:color w:val="auto"/>
        </w:rPr>
      </w:pPr>
    </w:p>
    <w:p>
      <w:pPr>
        <w:ind w:left="1300" w:hanging="320"/>
        <w:spacing w:after="0"/>
        <w:tabs>
          <w:tab w:leader="none" w:pos="130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increased 230 basis points mainly due to net pricing improvements;</w:t>
      </w:r>
    </w:p>
    <w:p>
      <w:pPr>
        <w:spacing w:after="0" w:line="117" w:lineRule="exact"/>
        <w:rPr>
          <w:rFonts w:ascii="Times New Roman" w:cs="Times New Roman" w:eastAsia="Times New Roman" w:hAnsi="Times New Roman"/>
          <w:sz w:val="18"/>
          <w:szCs w:val="18"/>
          <w:b w:val="1"/>
          <w:bCs w:val="1"/>
          <w:color w:val="auto"/>
        </w:rPr>
      </w:pPr>
    </w:p>
    <w:p>
      <w:pPr>
        <w:ind w:left="1300" w:hanging="320"/>
        <w:spacing w:after="0" w:line="284" w:lineRule="auto"/>
        <w:tabs>
          <w:tab w:leader="none" w:pos="1296"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SG&amp;A expenses as a percentage of net sales</w:t>
      </w:r>
      <w:r>
        <w:rPr>
          <w:rFonts w:ascii="Times New Roman" w:cs="Times New Roman" w:eastAsia="Times New Roman" w:hAnsi="Times New Roman"/>
          <w:sz w:val="18"/>
          <w:szCs w:val="18"/>
          <w:color w:val="auto"/>
        </w:rPr>
        <w:t>, increased 90 basis points mainly due to higher marketing spend, partially offset by leverage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fixed costs on higher net sales.</w:t>
      </w:r>
    </w:p>
    <w:p>
      <w:pPr>
        <w:spacing w:after="0" w:line="50" w:lineRule="exact"/>
        <w:rPr>
          <w:rFonts w:ascii="Times New Roman" w:cs="Times New Roman" w:eastAsia="Times New Roman" w:hAnsi="Times New Roman"/>
          <w:sz w:val="18"/>
          <w:szCs w:val="18"/>
          <w:b w:val="1"/>
          <w:bCs w:val="1"/>
          <w:color w:val="auto"/>
        </w:rPr>
      </w:pPr>
    </w:p>
    <w:p>
      <w:pPr>
        <w:jc w:val="both"/>
        <w:ind w:left="660" w:hanging="328"/>
        <w:spacing w:after="0" w:line="256" w:lineRule="auto"/>
        <w:tabs>
          <w:tab w:leader="none" w:pos="655"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Kate Spade Operating Income </w:t>
      </w:r>
      <w:r>
        <w:rPr>
          <w:rFonts w:ascii="Times New Roman" w:cs="Times New Roman" w:eastAsia="Times New Roman" w:hAnsi="Times New Roman"/>
          <w:sz w:val="18"/>
          <w:szCs w:val="18"/>
          <w:color w:val="auto"/>
        </w:rPr>
        <w:t>decreased $13.7 million to $95.0 million in the first nine months of fiscal 2025. Operating margin was 10.1%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nine months of fiscal 2025 as compared to 10.4% in the first nine months of fiscal 2024. Excluding items affecting comparability of $2.8 million, operating income decreased $10.9 million to $97.8 million in the first nine months of fiscal 2025 as compared to $108.7 million in the first nine months of fiscal 2024; and operating margin decreased 10 basis points to 10.3% in the first nine months of fiscal 2025 as compared to</w:t>
      </w:r>
    </w:p>
    <w:p>
      <w:pPr>
        <w:spacing w:after="0" w:line="1" w:lineRule="exact"/>
        <w:rPr>
          <w:rFonts w:ascii="Times New Roman" w:cs="Times New Roman" w:eastAsia="Times New Roman" w:hAnsi="Times New Roman"/>
          <w:sz w:val="18"/>
          <w:szCs w:val="18"/>
          <w:b w:val="1"/>
          <w:bCs w:val="1"/>
          <w:i w:val="1"/>
          <w:iCs w:val="1"/>
          <w:color w:val="auto"/>
        </w:rPr>
      </w:pPr>
    </w:p>
    <w:p>
      <w:pPr>
        <w:ind w:left="6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10.4% in the first nine months of fiscal 2024. The slight decrease in operating margin was primarily attributed to:</w:t>
      </w:r>
    </w:p>
    <w:p>
      <w:pPr>
        <w:spacing w:after="0" w:line="96" w:lineRule="exact"/>
        <w:rPr>
          <w:rFonts w:ascii="Times New Roman" w:cs="Times New Roman" w:eastAsia="Times New Roman" w:hAnsi="Times New Roman"/>
          <w:sz w:val="18"/>
          <w:szCs w:val="18"/>
          <w:b w:val="1"/>
          <w:bCs w:val="1"/>
          <w:i w:val="1"/>
          <w:iCs w:val="1"/>
          <w:color w:val="auto"/>
        </w:rPr>
      </w:pPr>
    </w:p>
    <w:p>
      <w:pPr>
        <w:ind w:left="1300" w:hanging="320"/>
        <w:spacing w:after="0"/>
        <w:tabs>
          <w:tab w:leader="none" w:pos="130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Gross Margin</w:t>
      </w:r>
      <w:r>
        <w:rPr>
          <w:rFonts w:ascii="Times New Roman" w:cs="Times New Roman" w:eastAsia="Times New Roman" w:hAnsi="Times New Roman"/>
          <w:sz w:val="18"/>
          <w:szCs w:val="18"/>
          <w:color w:val="auto"/>
        </w:rPr>
        <w:t>, increased 150 basis points mainly due to lower duty expenses, lower freight costs and net pricing improvements;</w:t>
      </w:r>
    </w:p>
    <w:p>
      <w:pPr>
        <w:spacing w:after="0" w:line="117" w:lineRule="exact"/>
        <w:rPr>
          <w:rFonts w:ascii="Times New Roman" w:cs="Times New Roman" w:eastAsia="Times New Roman" w:hAnsi="Times New Roman"/>
          <w:sz w:val="18"/>
          <w:szCs w:val="18"/>
          <w:b w:val="1"/>
          <w:bCs w:val="1"/>
          <w:color w:val="auto"/>
        </w:rPr>
      </w:pPr>
    </w:p>
    <w:p>
      <w:pPr>
        <w:ind w:left="1300" w:right="20" w:hanging="320"/>
        <w:spacing w:after="0" w:line="284" w:lineRule="auto"/>
        <w:tabs>
          <w:tab w:leader="none" w:pos="1296"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SG&amp;A expenses as a percentage of net sales, </w:t>
      </w:r>
      <w:r>
        <w:rPr>
          <w:rFonts w:ascii="Times New Roman" w:cs="Times New Roman" w:eastAsia="Times New Roman" w:hAnsi="Times New Roman"/>
          <w:sz w:val="18"/>
          <w:szCs w:val="18"/>
          <w:color w:val="auto"/>
        </w:rPr>
        <w:t>increased 160 basis points mainly driven by deleverage of fixed costs on lower net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a decrease in distribution costs.</w:t>
      </w:r>
    </w:p>
    <w:p>
      <w:pPr>
        <w:spacing w:after="0" w:line="50" w:lineRule="exact"/>
        <w:rPr>
          <w:rFonts w:ascii="Times New Roman" w:cs="Times New Roman" w:eastAsia="Times New Roman" w:hAnsi="Times New Roman"/>
          <w:sz w:val="18"/>
          <w:szCs w:val="18"/>
          <w:b w:val="1"/>
          <w:bCs w:val="1"/>
          <w:color w:val="auto"/>
        </w:rPr>
      </w:pPr>
    </w:p>
    <w:p>
      <w:pPr>
        <w:jc w:val="both"/>
        <w:ind w:left="660" w:hanging="328"/>
        <w:spacing w:after="0" w:line="258" w:lineRule="auto"/>
        <w:tabs>
          <w:tab w:leader="none" w:pos="655"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Stuart Weitzman Operating Loss </w:t>
      </w:r>
      <w:r>
        <w:rPr>
          <w:rFonts w:ascii="Times New Roman" w:cs="Times New Roman" w:eastAsia="Times New Roman" w:hAnsi="Times New Roman"/>
          <w:sz w:val="18"/>
          <w:szCs w:val="18"/>
          <w:color w:val="auto"/>
        </w:rPr>
        <w:t>increased $2.1 million to a loss of $14.0 million in the first nine months of fiscal 2025. Operating margin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(8.2)% in the first nine months of fiscal 2025 as compared to (6.2)% in the first nine months of fiscal 2024. Excluding items affecting comparability of $0.6 million, operating loss increased $1.5 million to a loss of $13.4 million in the first nine months of fiscal 2025 as compared to a loss of $11.9 million in the first nine months of fiscal 2024; and operating margin decreased 170 basis points to (7.9)% in the first nine months of fiscal 2025 as compared to (6.2)% in the first nine months of fiscal 2024.</w:t>
      </w:r>
    </w:p>
    <w:p>
      <w:pPr>
        <w:spacing w:after="0" w:line="75"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1" w:lineRule="auto"/>
        <w:tabs>
          <w:tab w:leader="none" w:pos="655"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Corporate Operating Expenses </w:t>
      </w:r>
      <w:r>
        <w:rPr>
          <w:rFonts w:ascii="Times New Roman" w:cs="Times New Roman" w:eastAsia="Times New Roman" w:hAnsi="Times New Roman"/>
          <w:sz w:val="18"/>
          <w:szCs w:val="18"/>
          <w:color w:val="auto"/>
        </w:rPr>
        <w:t>increased 12.4% or $56.1 million to $510.1 million in the first nine months of fiscal 2025. Excluding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affecting comparability, Corporate operating expenses increased $30.0 million to $401.1 million from $371.1 million in the first nine months of fiscal 2024. This increase in operating expenses was attributed to an increase in SG&amp;A expenses primarily due to higher compensation costs driven by accrued incentive compensation and higher professional fees, partially offset by lower occupancy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Loss on extinguishment of debt increased $120.1 million in the first nine months of fiscal 2025 to $120.1 million as compared to $0.0 million in the first nine months of fiscal 2024. Excluding items affecting comparability, Loss on extinguishment of debt was $0.7 million in the first nine months of fiscal 2025 as compared to $0.0 million in the first nine months of fiscal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Interest expense decreased $23.9 million to $70.6 million in the first nine months of fiscal 2025 as compared to $94.5 million in the first nine months of fiscal 2024. Excluding items affecting comparability, net interest expense decreased $0.4 million to Interest expense of $10.4 million from Interest expense of $10.8 million in the first nine months of fiscal 2024. This decrease in net interest expense was mainly due to a decrease in interest expense as a result of repayment of the Term Loan due 2027 and higher interest income, partially offset by higher interest expense as a result of the issuance of the 2030 and 2035 Senior Notes and the borrowings under the Revolving Credit Facility.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increased $1.8 million to Other income of $2.3 million in the first nine months of fiscal 2025 as compared to Other income of $0.5 million in the first nine months of fiscal 2024. This increase in Other income was related to an increase in foreign exchange gains.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effective tax rate was 13.6% in the first nine months of fiscal 2025 as compared to 19.0% in the first nine months of fiscal 2024. Excluding items affecting comparability, the effective tax rate was 17.3% in the first nine months of fiscal 2025 as compared to 19.9% in the first nine months of fiscal 2024. This decrease in our effective tax rate was primarily attributable to discrete items recorded during the period, partially offset by geographic mix of earnings.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income increased 6.6% or $43.6 million to $700.3 million in the first nine months of fiscal 2025 as compared to $656.7 million in the first nine months of fiscal 2024. Excluding items affecting comparability, net income increased $128.5 million to $911.6 million in the first nine months of fiscal 2025 from $783.1 million in the first nine months of fiscal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income per diluted share was $3.12 in the first nine months of fiscal 2025 as compared to net income per diluted share of $2.82 in the first nine months of fiscal 2024. Excluding items affecting comparability, net income per diluted share increased $0.69 to $4.05 in the first nine months of fiscal 2025 from $3.36 in the first nine months of fiscal 2024, primarily due to higher net income and a decrease in shares outstanding.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reported results are presented in accordance with GAAP. The reported SG&amp;A expenses, Operating income, Interest expense, Provision for income taxes, Net income and earnings per diluted share in the third quarter and first nine months of fiscal 2025 and fiscal 2024 and the reported Loss on extinguishment of debt in the first nine months of fiscal 2025, reflect certain items affecting comparability, including the impact of Acquisition and Divestiture Costs and Organizational Efficiency Costs. As a supplement to the Company's reported results, these measures are also reported on a non-GAAP basis to exclude the impact of these items along with a reconciliation to the most directly comparable GAAP measures.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incurred Acquisition and Divestiture Costs which consist of non-recurring acquisition and divestiture costs, primarily financing-related expenses and professional fees from the terminated Capri Acquisition as well as costs related to the Stuart Weitzman Business Divestiture, inclusive of the loss on business held for sale, store impairment, professional fees and share-based compensation expense. The Company also incurred Organizational Efficiency Costs which consist of non-recurring costs, primarily from various initiatives aimed at streamlining the organization and optimizing processes. These costs mainly include one-time severance and technology related charges.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non-GAAP performance measures were used by management to conduct and evaluate its business during its regular review of operating results for the periods affected. Management and the Company’s Board utilized these non-GAAP measures to make decisions about the uses of Company resources, analyze performance between periods, develop internal projections and measure management performance. The Company’s internal management reporting excluded these items. In addition, the human resources committee of the Company’s Board uses these non-GAAP measures when setting and assessing achievement of incentive compensation goals.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operates on a global basis and reports financial results in U.S. dollars in accordance with GAAP. Fluctuations in foreign currency exchange rates can affect the amounts reported by the Company in U.S. dollars with respect to its foreign revenues and profit. Accordingly, certain material increases and decreases in operating results for the Company and its segments have been presented both including and excluding currency fluctuation effects. These effects occur from translating foreign-denominated amounts into U.S. dollars and comparing to the same period in the prior fiscal year. Constant currency information compares results between periods as if exchange rates had remained constant period-over-period. The Company calculates constant currency revenue results by translating current period revenue in local currency using the prior year period's currency conversion rate.</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these non-GAAP measures are useful to investors and others in evaluating the Company’s ongoing operating and financial results in a manner that is consistent with management's evaluation of business performance and understanding how such results compare with the Company’s historical performance. Additionally, we believe presenting certain increases and decreases in constant currency provides a framework for assessing the performance of the Company's business outside the United States and helps investors and analysts understand the effect of significant year-over-year currency fluctuations. We believe excluding these items assists investors and others in developing expectations of future performance.</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By providing the non-GAAP measures, as a supplement to GAAP information, we believe we are enhancing investors’ understanding of our business and our results of operations. The non-GAAP financial measures are limited in their usefulness and should be considered in addition to, and not in lieu of, GAAP financial measures. Further, these non-GAAP measures may be unique to the Company, as they may be different from non-GAAP measures used by other companies.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detailed discussion on these non-GAAP measures, see the GAAP to Non-GAAP Reconciliation discussions above in this Item 2. "Management’s Discussion and Analysis of Financial Condition and Results of Operations."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4"/>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4"/>
        </w:trPr>
        <w:tc>
          <w:tcPr>
            <w:tcW w:w="6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69"/>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March 30,</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43"/>
        </w:trPr>
        <w:tc>
          <w:tcPr>
            <w:tcW w:w="67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Change</w:t>
            </w:r>
          </w:p>
        </w:tc>
      </w:tr>
      <w:tr>
        <w:trPr>
          <w:trHeight w:val="190"/>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769.8</w:t>
            </w:r>
          </w:p>
        </w:tc>
        <w:tc>
          <w:tcPr>
            <w:tcW w:w="3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948.2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1,434.3</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(6,808.4)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(12,542.0)</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8"/>
        </w:trPr>
        <w:tc>
          <w:tcPr>
            <w:tcW w:w="6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(5,075.0)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decreased by $5.08 billion in the first nine months of fiscal 2025 as compared to an increase of $6.25 billion in the first nine months of fiscal 2024, as discussed below.</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decreased $229.8 million primarily due to changes in operating assets and liabilities of $337.9 million, higher impact of non-cash adjustments of $64.5 million, as well as higher net income of $43.6 million.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$337.9 million decrease in changes in operating asset and liability balances were primarily driven by the following:</w:t>
      </w:r>
    </w:p>
    <w:p>
      <w:pPr>
        <w:spacing w:after="0" w:line="117" w:lineRule="exact"/>
        <w:rPr>
          <w:sz w:val="20"/>
          <w:szCs w:val="20"/>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were a use of cash of $132.7 million in the first nine months of fiscal 2025 compared to a source of cash of $91.6 million in the first nine months of fiscal 2024, primarily driven by increased inventory purchases for Coach to support continued sales growth.</w:t>
      </w:r>
    </w:p>
    <w:p>
      <w:pPr>
        <w:spacing w:after="0" w:line="53" w:lineRule="exact"/>
        <w:rPr>
          <w:rFonts w:ascii="Times New Roman" w:cs="Times New Roman" w:eastAsia="Times New Roman" w:hAnsi="Times New Roman"/>
          <w:sz w:val="18"/>
          <w:szCs w:val="18"/>
          <w:b w:val="1"/>
          <w:bCs w:val="1"/>
          <w:color w:val="auto"/>
        </w:rPr>
      </w:pPr>
    </w:p>
    <w:p>
      <w:pPr>
        <w:jc w:val="both"/>
        <w:ind w:left="660" w:hanging="328"/>
        <w:spacing w:after="0" w:line="261" w:lineRule="auto"/>
        <w:tabs>
          <w:tab w:leader="none" w:pos="65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liabilities were a use of cash of $68.9 million in the first nine months of fiscal 2025 compared to a source of cash of $94.2 million in the first nine months of fiscal 2024, primarily driven by a decrease in accrued interest due to the repayment of the Capri Acquisition Senior Notes, a decrease in accrued professional fees due to higher spending in the prior year related to the Capri Acquisition, partially offset by an increase in other tax liabilities and an increase in accrued advertising.</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in the first nine months of fiscal 2025 was $948.2 million as compared to a use of cash of $486.1 million in the first nine months of fiscal 2024, resulting in a $1.43 billion increase in net cash provided by investing activities.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$948.2 million of cash provided in the first nine months of fiscal 2025 was primarily due to proceeds from maturities and sales of investments of $2.92 billion, partially offset by purchases of investments of $1.89 billion, mainly related to the proceeds of the Capri Acquisition Senior Notes.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$486.1 million of cash used in the first nine months of fiscal 2024 was primarily due to purchases of investments of $1.13 billion, partially offset by maturities and sales of investments of $702.6 million, primarily related to the proceeds of the senior unsecured notes issued to fund the Capri Acquisition.</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$6.81 billion in the first nine months of fiscal 2025 as compared to a source of cash of $5.73 billion in the first nine months of fiscal 2024, resulting in a net increase of cash used in financing activities of $12.54 billion.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$6.81 billion of cash used in the first nine months of fiscal 2025 was primarily due to the repayment of debt of $6.86 billion, which mainly included the Capri Acquisition Senior Notes, use of cash of $2.02 billion under the Company's accelerated share repurchase program partially offset by proceeds from the issuance of debt of $2.25 billion.</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$5.73 billion source of cash in the first nine months of fiscal 2024 was primarily due to proceeds from the issuance of senior unsecured notes to fund the Capri Acquisition of $6.09 billion, partially offset by dividend payments of $240.9 million, as well as payment of debt issuance costs of $78.3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6" w:name="page57"/>
    <w:bookmarkEnd w:id="56"/>
    <w:p>
      <w:pPr>
        <w:ind w:left="34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Effect of exchange rate changes on cash and cash equivalents was $15.4 million as compared to $1.9 million in the first nine months of fiscal 2024, primarily driven by the impact of changes in the exchange rate of the United States Dollar against the Euro on the Capri Acquisition EUR Senior Notes.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financial condition as of March 29, 2025 and June 29,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June 29, 2024</w:t>
            </w:r>
          </w:p>
        </w:tc>
        <w:tc>
          <w:tcPr>
            <w:tcW w:w="4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Change</w:t>
            </w:r>
          </w:p>
        </w:tc>
      </w:tr>
      <w:tr>
        <w:trPr>
          <w:trHeight w:val="190"/>
        </w:trPr>
        <w:tc>
          <w:tcPr>
            <w:tcW w:w="21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6"/>
        </w:trPr>
        <w:tc>
          <w:tcPr>
            <w:tcW w:w="5400" w:type="dxa"/>
            <w:vAlign w:val="bottom"/>
            <w:gridSpan w:val="2"/>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23"/>
                <w:szCs w:val="23"/>
                <w:b w:val="1"/>
                <w:bCs w:val="1"/>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1,037.7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(5,104.3)</w:t>
            </w:r>
          </w:p>
        </w:tc>
      </w:tr>
      <w:tr>
        <w:trPr>
          <w:trHeight w:val="230"/>
        </w:trPr>
        <w:tc>
          <w:tcPr>
            <w:tcW w:w="5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Short-term investments</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w:t>
            </w:r>
          </w:p>
        </w:tc>
      </w:tr>
      <w:tr>
        <w:trPr>
          <w:trHeight w:val="229"/>
        </w:trPr>
        <w:tc>
          <w:tcPr>
            <w:tcW w:w="5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Current debt</w:t>
            </w:r>
            <w:r>
              <w:rPr>
                <w:rFonts w:ascii="Times New Roman" w:cs="Times New Roman" w:eastAsia="Times New Roman" w:hAnsi="Times New Roman"/>
                <w:sz w:val="23"/>
                <w:szCs w:val="23"/>
                <w:b w:val="1"/>
                <w:bCs w:val="1"/>
                <w:color w:val="auto"/>
                <w:vertAlign w:val="superscript"/>
              </w:rPr>
              <w:t>(2)</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54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Long-term debt</w:t>
            </w:r>
            <w:r>
              <w:rPr>
                <w:rFonts w:ascii="Times New Roman" w:cs="Times New Roman" w:eastAsia="Times New Roman" w:hAnsi="Times New Roman"/>
                <w:sz w:val="23"/>
                <w:szCs w:val="23"/>
                <w:b w:val="1"/>
                <w:bCs w:val="1"/>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(2,377.1)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4,560.1</w:t>
            </w:r>
          </w:p>
        </w:tc>
      </w:tr>
      <w:tr>
        <w:trPr>
          <w:trHeight w:val="248"/>
        </w:trPr>
        <w:tc>
          <w:tcPr>
            <w:tcW w:w="5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(1,640.0)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(1,603.2)</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2180" w:type="dxa"/>
            <w:vAlign w:val="bottom"/>
            <w:tcBorders>
              <w:bottom w:val="single" w:sz="8" w:color="auto"/>
            </w:tcBorders>
          </w:tcPr>
          <w:p>
            <w:pPr>
              <w:spacing w:after="0"/>
              <w:rPr>
                <w:sz w:val="10"/>
                <w:szCs w:val="10"/>
                <w:color w:val="auto"/>
              </w:rPr>
            </w:pPr>
          </w:p>
        </w:tc>
        <w:tc>
          <w:tcPr>
            <w:tcW w:w="3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00" w:type="dxa"/>
            <w:vAlign w:val="bottom"/>
          </w:tcPr>
          <w:p>
            <w:pPr>
              <w:spacing w:after="0"/>
              <w:rPr>
                <w:sz w:val="10"/>
                <w:szCs w:val="10"/>
                <w:color w:val="auto"/>
              </w:rPr>
            </w:pPr>
          </w:p>
        </w:tc>
      </w:tr>
    </w:tbl>
    <w:p>
      <w:pPr>
        <w:spacing w:after="0" w:line="141" w:lineRule="exact"/>
        <w:rPr>
          <w:sz w:val="20"/>
          <w:szCs w:val="20"/>
          <w:color w:val="auto"/>
        </w:rPr>
      </w:pPr>
    </w:p>
    <w:p>
      <w:pPr>
        <w:ind w:left="260" w:hanging="252"/>
        <w:spacing w:after="0"/>
        <w:tabs>
          <w:tab w:leader="none" w:pos="26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March 29, 2025, approximately 38% of our cash and short-term investments were held outside the United States.</w:t>
      </w:r>
    </w:p>
    <w:p>
      <w:pPr>
        <w:spacing w:after="0" w:line="82" w:lineRule="exact"/>
        <w:rPr>
          <w:rFonts w:ascii="Times New Roman" w:cs="Times New Roman" w:eastAsia="Times New Roman" w:hAnsi="Times New Roman"/>
          <w:sz w:val="23"/>
          <w:szCs w:val="23"/>
          <w:color w:val="auto"/>
          <w:vertAlign w:val="superscript"/>
        </w:rPr>
      </w:pPr>
    </w:p>
    <w:p>
      <w:pPr>
        <w:ind w:left="260" w:hanging="252"/>
        <w:spacing w:after="0" w:line="219" w:lineRule="auto"/>
        <w:tabs>
          <w:tab w:leader="none" w:pos="26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11, "Debt" for discussion of the carrying values of our debt.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primary sources of liquidity are the cash flows generated from our operations, our cash and cash equivalents and short-term investments, availability under our credit facilities and other available financing options.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total availability, borrowings outstanding and remaining availability under our credit facilities as of March 29,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 Availability</w:t>
            </w: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Borrowings Outstanding</w:t>
            </w:r>
          </w:p>
        </w:tc>
        <w:tc>
          <w:tcPr>
            <w:tcW w:w="1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Remaining Availability</w:t>
            </w:r>
          </w:p>
        </w:tc>
      </w:tr>
      <w:tr>
        <w:trPr>
          <w:trHeight w:val="190"/>
        </w:trPr>
        <w:tc>
          <w:tcPr>
            <w:tcW w:w="21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36"/>
        </w:trPr>
        <w:tc>
          <w:tcPr>
            <w:tcW w:w="4480" w:type="dxa"/>
            <w:vAlign w:val="bottom"/>
            <w:gridSpan w:val="2"/>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b w:val="1"/>
                <w:bCs w:val="1"/>
                <w:color w:val="auto"/>
              </w:rPr>
              <w:t>Revolving Credit Facility</w:t>
            </w:r>
            <w:r>
              <w:rPr>
                <w:rFonts w:ascii="Times New Roman" w:cs="Times New Roman" w:eastAsia="Times New Roman" w:hAnsi="Times New Roman"/>
                <w:sz w:val="23"/>
                <w:szCs w:val="23"/>
                <w:b w:val="1"/>
                <w:bCs w:val="1"/>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w:t>
            </w:r>
          </w:p>
        </w:tc>
      </w:tr>
      <w:tr>
        <w:trPr>
          <w:trHeight w:val="229"/>
        </w:trPr>
        <w:tc>
          <w:tcPr>
            <w:tcW w:w="44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China Credit Facility</w:t>
            </w:r>
            <w:r>
              <w:rPr>
                <w:rFonts w:ascii="Times New Roman" w:cs="Times New Roman" w:eastAsia="Times New Roman" w:hAnsi="Times New Roman"/>
                <w:sz w:val="23"/>
                <w:szCs w:val="23"/>
                <w:b w:val="1"/>
                <w:bCs w:val="1"/>
                <w:color w:val="auto"/>
                <w:vertAlign w:val="superscript"/>
              </w:rPr>
              <w:t>(1)(2)</w:t>
            </w: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r>
      <w:tr>
        <w:trPr>
          <w:trHeight w:val="248"/>
        </w:trPr>
        <w:tc>
          <w:tcPr>
            <w:tcW w:w="4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2,017.9</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180" w:type="dxa"/>
            <w:vAlign w:val="bottom"/>
            <w:tcBorders>
              <w:bottom w:val="single" w:sz="8" w:color="auto"/>
            </w:tcBorders>
          </w:tcPr>
          <w:p>
            <w:pPr>
              <w:spacing w:after="0"/>
              <w:rPr>
                <w:sz w:val="13"/>
                <w:szCs w:val="13"/>
                <w:color w:val="auto"/>
              </w:rPr>
            </w:pPr>
          </w:p>
        </w:tc>
        <w:tc>
          <w:tcPr>
            <w:tcW w:w="2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Pr>
          <w:p>
            <w:pPr>
              <w:spacing w:after="0"/>
              <w:rPr>
                <w:sz w:val="13"/>
                <w:szCs w:val="13"/>
                <w:color w:val="auto"/>
              </w:rPr>
            </w:pPr>
          </w:p>
        </w:tc>
      </w:tr>
    </w:tbl>
    <w:p>
      <w:pPr>
        <w:spacing w:after="0" w:line="154"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11, "Debt" for further information on these instruments.</w:t>
      </w:r>
    </w:p>
    <w:p>
      <w:pPr>
        <w:spacing w:after="0" w:line="68" w:lineRule="exact"/>
        <w:rPr>
          <w:rFonts w:ascii="Times New Roman" w:cs="Times New Roman" w:eastAsia="Times New Roman" w:hAnsi="Times New Roman"/>
          <w:sz w:val="23"/>
          <w:szCs w:val="23"/>
          <w:color w:val="auto"/>
          <w:vertAlign w:val="superscript"/>
        </w:rPr>
      </w:pPr>
    </w:p>
    <w:p>
      <w:pPr>
        <w:ind w:left="300" w:hanging="292"/>
        <w:spacing w:after="0" w:line="231" w:lineRule="auto"/>
        <w:tabs>
          <w:tab w:leader="none" w:pos="30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under the China Credit Facility include the impact of changes in the exchange rate of the United States Dollar against the Renminbi.</w:t>
      </w:r>
    </w:p>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Revolving Credit Facility is adequately diversified with no undue concentrations in any one financial institution. As of March 29, 2025, there were 18 financial institutions participating in the Revolving Credit Facility, with no one participant maintaining a combined maximum commitment percentage in excess of 10%. We have no reason to believe at this time that the participating institutions will be unable to fulfill their obligations to provide financing in accordance with the terms of the facility in the event we elect to draw funds in the foreseeable future.</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the ability to draw on our credit facilities or access other sources of financing options available to us in the credit and capital markets for, among other things, acquisition or integration-related costs, our restructuring initiatives, settlement of a material contingency, or a material adverse business or macroeconomic development, as well as for other general corporate business purposes.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Management believes that cash flows from operations, access to the credit and capital markets and our credit lines, on-hand cash and cash equivalents and our investments will provide adequate funds to support our operating, capital and debt service requirements for fiscal 2025 and beyond. There can be no assurance that any such capital will be available to the Company on acceptable terms or at all. Our ability to fund working capital needs, planned capital expenditures and scheduled debt payments, as well as to comply with all of the financial covenants under our debt agreements, depends on future operating performance and cash flow. This future operating performance and cash flow are subject to prevailing economic conditions, and to financial, business and other factors, some of which are beyond the Company's control.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7" w:name="page58"/>
    <w:bookmarkEnd w:id="57"/>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Reference should be made to our most recent Annual Report on Form 10-K and other filings with the SEC for additional information regarding liquidity and capital resources.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Stuart Weitzman Business Divestiture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16, 2025, the Company entered into a Purchase Agreement pursuant to which the Company will sell the Stuart Weitzman Business for total cash consideration of $105.0 million, subject to customary adjustments. The transaction is expected to close in the summer of 2025, subject to customary closing conditions. Refer to Note 5, "Acquisitions and Divestitures," for further information.</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Supply Chain Finance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improve our working capital efficiency, we make available to certain suppliers, a voluntary supply chain finance (“SCF”) program that enables our suppliers to sell their receivables from the Company to a global financial institution on a non-recourse basis at a rate that leverages our credit rating. We do not have the ability to refinance or modify payment terms to the global financial institution through the SCF program. No guarantees are provided by the Company or any of our subsidiaries under the SCF program. Refer to Note 2, "Basis of Presentation and Organization," for additional information.</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March 29, 2025, capital expenditures and cloud computing implementation costs were $35.7 million and $104.5 million, respectively. The Company expects total fiscal 2025 capital expenditures and cloud computing cost to be approximately $160 million. Certain cloud computing implementation costs are recognized within Prepaid expenses and Other assets on the Condensed Consolidated Balance Sheets.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13, 2024, the Board of Directors of the Company (the "Board") authorized the Company to repurchase up to $2.00 billion of outstanding shares of its common stock (the "2025 Share Repurchase Program"). Under the 2025 Share Repurchase Program, the Company may repurchase shares on the open market, in privately negotiated transactions or in other transactions, including accelerated share repurchase programs. On November 21, 2024, the Company entered into accelerated share repurchase agreements (the “ASR Agreements”) with Bank of America, N.A. and Morgan Stanley &amp; Co. LLC (the “Dealers”) to repurchase an aggregate of up to $2.00 billion of the Company’s shares of common stock. The $2.00 billion authorized for purchases under the 2025 Share Repurchase Program is supplemental to the $800.0 million remaining in authorized purchases under the share repurchase program authorized by the Board in May 2022 (the "2022 Share Repurchase Program").</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ASR Agreements, the Company paid $2.00 billion to the Dealers and received an initial delivery of 28,363,766 shares of the Company's common stock on November 26, 2024. The total number of shares purchased by the Company pursuant to the ASR Agreements will be based on the volume-weighted average price ("VWAP") of the Company's common stock on specified dates during the term of each of the ASR Agreements, less a discount, and subject to adjustments pursuant to the terms and conditions of the ASR Agreements. The difference between the initially delivered shares and the total number of shares purchased will be settled in four tranches, no later than the first quarter of fiscal 2026. The ASR Agreements are accounted for as a share purchase transaction and forward stock purchase agreement indexed to our common stock. Repurchased shares of common stock will become authorized but unissued shares.</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March 29, 2025, the Company owed 43,094 shares of common stock related to the settlement of one tranche as a result of the increase in the VWAP of the Company's common stock, which was cash settled for $3.0 million.</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29, 2025 the Company had $800.0 million of additional shares available to be repurchased as authorized under the 2022 Share Repurchase Program and no remaining availability to repurchase shares under the 2025 Share Repurchase Program.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3 to the audited consolidated financial statements in our Annual Report on Form 10-K for fiscal 2024. Our discussion of results of operations and financial condition relies on our condensed consolidated financial statements that are prepared based on certain critical accounting policies that require management to make judgments and estimates which are subject to varying degrees of uncertainty. While we believe that these accounting policies are based on sound measurement criteria, actual future events can and often do result in outcomes that can be materially different from these estimates or forecasts.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 complete discussion of our critical accounting policies and estimates, see the "Critical Accounting Policies and Estimates" section of the Management's Discussion and Analysis of Financial Condition and Results of Operations in our Annual Report on Form 10-K for fiscal 2024. As of March 29, 2025, there have been no material changes to any of the critical accounting policies.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8" w:name="page59"/>
    <w:bookmarkEnd w:id="58"/>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performs its annual impairment assessment of goodwill as well as brand intangibles at the beginning of the fourth quarter of each fiscal year. In all fiscal years, the fair values of our Coach brand reporting units significantly exceeded their respective carrying values. The fair values of the Kate Spade brand reporting unit and indefinite-lived brand as of the fiscal 2024 testing date exceeded their carrying values by approximately 20% and 55%, respectively. Several factors could impact the Kate Spade brand's ability to achieve expected future cash flows, including the optimization of the store fleet productivity, the success of international expansion strategies, the impact of promotional activity, continued economic volatility and potential operational challenges related to macroeconomic factors, the reception of new collections in all channels, and other initiatives aimed at increasing profitability of the business. Given the relatively small excess of fair value over carrying value as noted above, if profitability trends decline during fiscal 2025 from those that are expected, it is possible that an interim test, or our annual impairment test, could result in an impairment of those assets.</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have been no significant changes to the Company's market risk or the way the Company manages these exposures as set forth in Part II, Item 7A. "Quantitative and Qualitative Disclosures About Market Risk" in the Company’s Annual Report on Form 10-K for the fiscal year ended June 29, 2024. Refer to Note 8, "Derivative Investments and Hedging Activities," Note 11, "Debt," and Note 13, "Investments" included in Part I of this Form 10-Q for additional information.</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evaluated under the supervision and with the participation of management, including our principal executive and principal financial officers, the effectiveness of our disclosure controls and procedures, as is defined in Rules 13a-15(e) and 15d-15(e) of the Securities Exchange Act of 1934, as amended, as of the end of the fiscal quarter covered by this quarterly report. Based on that evaluation, our principal executive and principal financial officers have concluded that the Company's disclosure controls and procedures were effective at the reasonable assurance level as of the fiscal quarter-end covered by this quarterly report on Form 10-Q.</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third quarter of 2025 that were identified in connection with management's evaluation required by paragraph (d) of Rules 13a-15 and 15d-15 under the Securities Exchange Act of 1934, as amended,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routine legal proceedings as both plaintiff and defendant incident to the ordinary course of its business, such as to protect Tapestry, Inc.'s intellectual property rights, litigation instituted by persons alleged to have been injured by advertising claims or upon premises within the Company’s control, contract disputes, insurance claims and litigation, including wage and hour litigation, with present or former employees.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the Company's litigation can result in large monetary awards, such as when a civil jury is allowed to determine compensatory and/or punitive damages, the Company believes that the outcome of all pending legal proceedings in the aggregate will not have a material effect on the Company's business or condensed consolidated financial statements. There have been no material developments with respect to any previously reported proceedings.</w:t>
      </w:r>
    </w:p>
    <w:p>
      <w:pPr>
        <w:spacing w:after="0" w:line="6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However, as previously disclosed, on August 10, 2023, the Company entered into a Merger Agreement by and among the Company, Merger Sub and Capri, pursuant to which, among other things, Merger Sub would merge with and into Capri (the “Merger”) with Capri surviving the Merger and continuing as a wholly owned subsidiary of the Company ("the Capri Acquisition"). On April 22, 2024, the FTC filed a complaint against the Company and Capri in the United States District Court for the Southern District of New York seeking to enjoin the consummation of the Capri Acquisition, and on October 24, 2024, the Court issued its Opinion and Order granting the FTC's request for a preliminary injunction of the Merger, pending an administrative trial on the merits which was scheduled to begin on December 9, 2024. On October 28, 2024, the Company and Capri filed a Notice of Appeal with respect to the October 24, 2024 Opinion and Order. On November 6, 2024, the United States Court of Appeals for the Second Circuit entered an order setting an expedited briefing schedule for the appeal of the decision of the United States District Court of the Southern District of New York granting the preliminary injunction of the Merger. On November 13, 2024, the Company, Merger Sub and Capri (collectively, the “Parties”) entered into a Termination Agreement, pursuant to which the Parties agreed to terminate the Merger Agreement, including all schedules and exhibits thereto and all ancillary agreements contemplated thereby or entered pursuant thereto, effective immediately. Following termination of the Merger Agreement, the Parties and the FTC filed a stipulation withdrawing the appeal to the United States Court of Appeals for the Second Circuit on November 19, 2024 and the Second Circuit dismissed the appeal on November 20, 2024. The Parties and the FTC also filed a Joint Motion to dismiss the complaint in the administrative trial on November 15, 2024 and the FTC dismissed the complaint on December 4, 2024.</w:t>
      </w:r>
    </w:p>
    <w:p>
      <w:pPr>
        <w:spacing w:after="0" w:line="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23, 2024 and January 28, 2025, two separate putative securities class actions were filed by plaintiff shareholders in the United States District Court for the District of Delaware against Capri and certain of its officers and against Tapestry and certain of its officers, alleging that during the respective class periods (between August 10, 2023 and October 24, 2024), Capri and Tapestry misrepresented and failed to disclose adverse facts about Capri’s business, operations, market dynamics, and the prospects for approval of the Capri Acquisition, which were known to defendants or recklessly disregarded by them. The complaints, which each allege violations of sections 10(b) and 20(a) of the Securities Exchange Act of 1934 and rule 10b-5 promulgated thereunder, seek unspecified compensatory damages, costs and expenses, and equitable relief. The Company intends to vigorously defend itself in these matters.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Except for below, as of March 29, 2025, there have been no material changes to the risk factors that were previously disclosed in Part I, Item 1A, "Risk Factors" in our Annual Report on Form 10-K for the fiscal year ended June 29, 2024 filed with the SEC on August 15, 2024.</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International trade disputes, including U.S. trade tariffs and retaliatory tariffs, could adversely impact our business.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There has been significant reform in U.S. trade policy with the change in U.S. presidential administration in January 2025. International trade disputes as well as changes and uncertainty regarding international trade and trade policies, including the imposition or threat of imposition of new or increased tariffs or other trade restrictions on goods from the countries where our manufacturers are located could result in a materially adverse impact to our business. During fiscal 2024, the primary manufacturers of Coach products were located in Vietnam, Cambodia, the Philippines and India, and the primary manufacturers of Kate Spade products were located in Vietnam, Cambodia, mainland China, and the Philippines. Increased tariffs or other trade restrictions against these countries, as well as any tariffs or other trade restrictions implemented by these countries in retaliation, could limit our ability to manufacture products in countries that have the labor and technical expertise needed. Further, such tariffs or other trade restrictions could require us to absorb costs or try to pass costs onto consumers, which could materially impact our revenue and profitability. In addition, any negative perception of or sentiments towards the U.S., whether in response to changes in tariffs, trade policy or otherwise, could impact the perception of our Company. Our ability to navigate any uncertainty, changes or expansion in tariffs or other trade restrictions could have a material negative impact on our business, financial conditions and results of operations.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0" w:name="page61"/>
    <w:bookmarkEnd w:id="60"/>
    <w:p>
      <w:pPr>
        <w:ind w:left="980" w:right="880" w:hanging="809"/>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USE OF PROCEEDS AND ISSUER PURCHASES OF EQUITY SECURITIES</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12, 2022, the Company announced that its Board of Directors (the "Board") authorized a common stock repurchase program to repurchase up to $1.50 billion of its outstanding common stock (the "2022 Share Repurchase Program"). Purchases of the Company's common stock under this program were executed through open market purchases, including through purchase agreements under Rule 10b5-1.</w:t>
      </w:r>
    </w:p>
    <w:p>
      <w:pPr>
        <w:spacing w:after="0" w:line="6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November 13, 2024, the Board authorized the Company to repurchase up to $2.00 billion of outstanding shares of its common stock (the "2025 Share Repurchase Program"). Under the 2025 Share Repurchase Program, the Company may repurchase shares on the open market, in privately negotiated transactions or in other transactions, including accelerated share repurchase programs. On November 21, 2024, the Company entered into accelerated share repurchase agreements (the “ASR Agreements”) with Bank of America, N.A. and Morgan Stanley &amp; Co. LLC (the “Dealers”) to repurchase an aggregate of up to $2.00 billion of the Company’s shares of common stock. Under the ASR Agreements, the Company paid $2.00 billion to the Dealers and received an initial delivery of 28,363,766 shares of the Company's common stock on November 26, 2024. The total number of shares purchased by the Company pursuant to the ASR Agreements will be based on the volume-weighted average price ("VWAP") of the Company's common stock on specified dates during the term of each of the ASR Agreements, less a discount, and subject to adjustments pursuant to the terms and conditions of the ASR Agreements. The difference between the initially delivered shares and the total number of shares purchased will be settled in four tranches, no later than the first quarter of fiscal 2026. During the quarter ended March 29, 2025, the Company owed 43,094 shares of common stock related to the settlement of one tranche as a result of the increase in the VWAP of the Company's common stock, which was cash settled for $3.0 million.</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29, 2025 the Company had $800.0 million of additional shares available to be repurchased as authorized under the 2022 Share Repurchase Program and no remaining availability to repurchase shares under the 2025 Share Repurchase Program. There were no shares repurchased during the three months ended March 29, 2025 under the 2022 Share Repurchase Program and the 2025 Share Repurchase Program.</w:t>
      </w:r>
    </w:p>
    <w:p>
      <w:pPr>
        <w:spacing w:after="0" w:line="1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was no adoption, modification or termination of any Rule 10b5-1 plan or other trading arrangements by our directors and officers during the quarter ended March 29, 2025.</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31.1*</w:t>
            </w: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 xml:space="preserve">Rule 13(a)-14(a)/15(d)-14(a) Certification </w:t>
            </w:r>
            <w:r>
              <w:rPr>
                <w:rFonts w:ascii="Times New Roman" w:cs="Times New Roman" w:eastAsia="Times New Roman" w:hAnsi="Times New Roman"/>
                <w:sz w:val="18"/>
                <w:szCs w:val="18"/>
                <w:color w:val="000000"/>
                <w:w w:val="99"/>
              </w:rPr>
              <w:t>of the Company's Chief Executive Officer</w:t>
            </w:r>
          </w:p>
        </w:tc>
      </w:tr>
      <w:tr>
        <w:trPr>
          <w:trHeight w:val="20"/>
        </w:trPr>
        <w:tc>
          <w:tcPr>
            <w:tcW w:w="900" w:type="dxa"/>
            <w:vAlign w:val="bottom"/>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10"/>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31.2*</w:t>
            </w: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Rule 13(a)-14(a)/15(d)-14(a) Certification </w:t>
            </w:r>
            <w:r>
              <w:rPr>
                <w:rFonts w:ascii="Times New Roman" w:cs="Times New Roman" w:eastAsia="Times New Roman" w:hAnsi="Times New Roman"/>
                <w:sz w:val="18"/>
                <w:szCs w:val="18"/>
                <w:color w:val="000000"/>
              </w:rPr>
              <w:t>of the Company's Chief Financial Officer</w:t>
            </w:r>
          </w:p>
        </w:tc>
      </w:tr>
      <w:tr>
        <w:trPr>
          <w:trHeight w:val="20"/>
        </w:trPr>
        <w:tc>
          <w:tcPr>
            <w:tcW w:w="9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10"/>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6"/>
              </w:rPr>
              <w:t>32.1**</w:t>
            </w:r>
          </w:p>
        </w:tc>
        <w:tc>
          <w:tcPr>
            <w:tcW w:w="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1350</w:t>
            </w: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Certification of the Company's Chief Executive Officer</w:t>
            </w:r>
          </w:p>
        </w:tc>
      </w:tr>
      <w:tr>
        <w:trPr>
          <w:trHeight w:val="209"/>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6"/>
              </w:rPr>
              <w:t>32.2**</w:t>
            </w:r>
          </w:p>
        </w:tc>
        <w:tc>
          <w:tcPr>
            <w:tcW w:w="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Section 1350</w:t>
            </w: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Certification of the Company's Chief Financial Officer</w:t>
            </w:r>
          </w:p>
        </w:tc>
      </w:tr>
      <w:tr>
        <w:trPr>
          <w:trHeight w:val="25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bl>
    <w:p>
      <w:pPr>
        <w:ind w:left="880" w:right="680"/>
        <w:spacing w:after="0" w:line="234" w:lineRule="auto"/>
        <w:rPr>
          <w:sz w:val="20"/>
          <w:szCs w:val="20"/>
          <w:color w:val="auto"/>
        </w:rPr>
      </w:pPr>
      <w:r>
        <w:rPr>
          <w:rFonts w:ascii="Times New Roman" w:cs="Times New Roman" w:eastAsia="Times New Roman" w:hAnsi="Times New Roman"/>
          <w:sz w:val="18"/>
          <w:szCs w:val="18"/>
          <w:i w:val="1"/>
          <w:iCs w:val="1"/>
          <w:color w:val="auto"/>
        </w:rPr>
        <w:t>Note: the instance document does not appear in the Interactive Data File because its XBRL tags are embedded within the Inline XBRL document.</w:t>
      </w:r>
    </w:p>
    <w:p>
      <w:pPr>
        <w:spacing w:after="0" w:line="24"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bl>
    <w:p>
      <w:pPr>
        <w:ind w:right="4380" w:firstLine="406"/>
        <w:spacing w:after="0" w:line="587" w:lineRule="auto"/>
        <w:tabs>
          <w:tab w:leader="none" w:pos="108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240" w:hanging="232"/>
        <w:spacing w:after="0"/>
        <w:tabs>
          <w:tab w:leader="none" w:pos="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13798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TAPESTRY, INC.</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(Registrant)</w:t>
      </w:r>
    </w:p>
    <w:p>
      <w:pPr>
        <w:spacing w:after="0" w:line="247"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Manesh B. Dadlani</w:t>
            </w:r>
          </w:p>
        </w:tc>
      </w:tr>
      <w:tr>
        <w:trPr>
          <w:trHeight w:val="21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Manesh B. Dadlani</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Controller</w:t>
            </w:r>
          </w:p>
        </w:tc>
      </w:tr>
      <w:tr>
        <w:trPr>
          <w:trHeight w:val="234"/>
        </w:trPr>
        <w:tc>
          <w:tcPr>
            <w:tcW w:w="82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2025</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995"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Joanne C. Crevoiserat, certify that,</w:t>
      </w:r>
    </w:p>
    <w:p>
      <w:pPr>
        <w:spacing w:after="0" w:line="117"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Tapestry,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185"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0142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0" w:lineRule="exact"/>
        <w:rPr>
          <w:sz w:val="20"/>
          <w:szCs w:val="20"/>
          <w:color w:val="auto"/>
        </w:rPr>
      </w:pPr>
    </w:p>
    <w:p>
      <w:pPr>
        <w:ind w:left="480"/>
        <w:spacing w:after="0"/>
        <w:tabs>
          <w:tab w:leader="none" w:pos="1220" w:val="left"/>
        </w:tabs>
        <w:rPr>
          <w:sz w:val="20"/>
          <w:szCs w:val="20"/>
          <w:color w:val="auto"/>
        </w:rPr>
      </w:pPr>
      <w:r>
        <w:rPr>
          <w:rFonts w:ascii="Times New Roman" w:cs="Times New Roman" w:eastAsia="Times New Roman" w:hAnsi="Times New Roman"/>
          <w:sz w:val="18"/>
          <w:szCs w:val="18"/>
          <w:color w:val="auto"/>
        </w:rPr>
        <w:t>Name:</w:t>
        <w:tab/>
        <w:t>Joanne C. Crevoiserat</w:t>
      </w:r>
    </w:p>
    <w:p>
      <w:pPr>
        <w:spacing w:after="0" w:line="50" w:lineRule="exact"/>
        <w:rPr>
          <w:sz w:val="20"/>
          <w:szCs w:val="20"/>
          <w:color w:val="auto"/>
        </w:rPr>
      </w:pPr>
    </w:p>
    <w:p>
      <w:pPr>
        <w:ind w:left="480"/>
        <w:spacing w:after="0"/>
        <w:tabs>
          <w:tab w:leader="none" w:pos="1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95"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Scott A. Roe, certify that,</w:t>
      </w:r>
    </w:p>
    <w:p>
      <w:pPr>
        <w:spacing w:after="0" w:line="117"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Tapestry,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158"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Scott A.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34290</wp:posOffset>
            </wp:positionV>
            <wp:extent cx="20142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2">
            <w:col w:w="960" w:space="300"/>
            <w:col w:w="9980"/>
          </w:cols>
          <w:pgMar w:left="320" w:top="995" w:right="339" w:bottom="1440" w:gutter="0" w:footer="0" w:header="0"/>
          <w:type w:val="continuous"/>
        </w:sectPr>
      </w:pPr>
    </w:p>
    <w:bookmarkStart w:id="64" w:name="page65"/>
    <w:bookmarkEnd w:id="64"/>
    <w:p>
      <w:pPr>
        <w:ind w:left="9880"/>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Tapestry, Inc.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to such officer’s knowledge, that:</w:t>
      </w:r>
    </w:p>
    <w:p>
      <w:pPr>
        <w:spacing w:after="0" w:line="99" w:lineRule="exact"/>
        <w:rPr>
          <w:sz w:val="20"/>
          <w:szCs w:val="20"/>
          <w:color w:val="auto"/>
        </w:rPr>
      </w:pPr>
    </w:p>
    <w:p>
      <w:pPr>
        <w:ind w:firstLine="332"/>
        <w:spacing w:after="0" w:line="282" w:lineRule="auto"/>
        <w:tabs>
          <w:tab w:leader="none" w:pos="86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March 29, 2025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right="40" w:firstLine="332"/>
        <w:spacing w:after="0" w:line="407" w:lineRule="auto"/>
        <w:tabs>
          <w:tab w:leader="none" w:pos="81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8, 2025</w:t>
      </w:r>
    </w:p>
    <w:p>
      <w:pPr>
        <w:spacing w:after="0" w:line="13"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0142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0" w:lineRule="exact"/>
        <w:rPr>
          <w:sz w:val="20"/>
          <w:szCs w:val="20"/>
          <w:color w:val="auto"/>
        </w:rPr>
      </w:pPr>
    </w:p>
    <w:p>
      <w:pPr>
        <w:ind w:left="480"/>
        <w:spacing w:after="0"/>
        <w:tabs>
          <w:tab w:leader="none" w:pos="1220" w:val="left"/>
        </w:tabs>
        <w:rPr>
          <w:sz w:val="20"/>
          <w:szCs w:val="20"/>
          <w:color w:val="auto"/>
        </w:rPr>
      </w:pPr>
      <w:r>
        <w:rPr>
          <w:rFonts w:ascii="Times New Roman" w:cs="Times New Roman" w:eastAsia="Times New Roman" w:hAnsi="Times New Roman"/>
          <w:sz w:val="18"/>
          <w:szCs w:val="18"/>
          <w:color w:val="auto"/>
        </w:rPr>
        <w:t>Name:</w:t>
        <w:tab/>
        <w:t>Joanne C. Crevoiserat</w:t>
      </w:r>
    </w:p>
    <w:p>
      <w:pPr>
        <w:spacing w:after="0" w:line="50" w:lineRule="exact"/>
        <w:rPr>
          <w:sz w:val="20"/>
          <w:szCs w:val="20"/>
          <w:color w:val="auto"/>
        </w:rPr>
      </w:pPr>
    </w:p>
    <w:p>
      <w:pPr>
        <w:ind w:left="480"/>
        <w:spacing w:after="0"/>
        <w:tabs>
          <w:tab w:leader="none" w:pos="1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1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Tapestry, Inc. and will be retained by Tapestry, Inc. and furnished to the Securities and Exchange Commission or its staff upon request.</w:t>
      </w:r>
    </w:p>
    <w:p>
      <w:pPr>
        <w:sectPr>
          <w:pgSz w:w="11900" w:h="16838" w:orient="portrait"/>
          <w:cols w:equalWidth="0" w:num="1">
            <w:col w:w="11240"/>
          </w:cols>
          <w:pgMar w:left="320" w:top="999" w:right="339" w:bottom="1440" w:gutter="0" w:footer="0" w:header="0"/>
        </w:sectPr>
      </w:pPr>
    </w:p>
    <w:bookmarkStart w:id="65" w:name="page66"/>
    <w:bookmarkEnd w:id="65"/>
    <w:p>
      <w:pPr>
        <w:ind w:left="9880"/>
        <w:spacing w:after="0"/>
        <w:rPr>
          <w:sz w:val="20"/>
          <w:szCs w:val="20"/>
          <w:color w:val="auto"/>
        </w:rPr>
      </w:pPr>
      <w:r>
        <w:rPr>
          <w:rFonts w:ascii="Times New Roman" w:cs="Times New Roman" w:eastAsia="Times New Roman" w:hAnsi="Times New Roman"/>
          <w:sz w:val="21"/>
          <w:szCs w:val="21"/>
          <w:b w:val="1"/>
          <w:bCs w:val="1"/>
          <w:color w:val="auto"/>
        </w:rPr>
        <w:t>EXHIBIT 32.2</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Tapestry, Inc.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to such officer’s knowledge, that:</w:t>
      </w:r>
    </w:p>
    <w:p>
      <w:pPr>
        <w:spacing w:after="0" w:line="99" w:lineRule="exact"/>
        <w:rPr>
          <w:sz w:val="20"/>
          <w:szCs w:val="20"/>
          <w:color w:val="auto"/>
        </w:rPr>
      </w:pPr>
    </w:p>
    <w:p>
      <w:pPr>
        <w:ind w:firstLine="383"/>
        <w:spacing w:after="0" w:line="282" w:lineRule="auto"/>
        <w:tabs>
          <w:tab w:leader="none" w:pos="90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March 29, 2025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60" w:hanging="655"/>
        <w:spacing w:after="0"/>
        <w:tabs>
          <w:tab w:leader="none" w:pos="10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158"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Scott A.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34290</wp:posOffset>
            </wp:positionV>
            <wp:extent cx="20142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33" w:lineRule="exact"/>
        <w:rPr>
          <w:sz w:val="20"/>
          <w:szCs w:val="20"/>
          <w:color w:val="auto"/>
        </w:rPr>
      </w:pPr>
    </w:p>
    <w:p>
      <w:pPr>
        <w:sectPr>
          <w:pgSz w:w="11900" w:h="16838" w:orient="portrait"/>
          <w:cols w:equalWidth="0" w:num="2">
            <w:col w:w="960" w:space="300"/>
            <w:col w:w="9980"/>
          </w:cols>
          <w:pgMar w:left="320" w:top="999" w:right="339" w:bottom="1440" w:gutter="0" w:footer="0" w:header="0"/>
          <w:type w:val="continuous"/>
        </w:sectPr>
      </w:pPr>
    </w:p>
    <w:p>
      <w:pPr>
        <w:spacing w:after="0" w:line="1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Tapestry, Inc. and will be retained by Tapestry, Inc. and furnished to the Securities and Exchange Commission or its staff upon request.</w:t>
      </w:r>
    </w:p>
    <w:sectPr>
      <w:pgSz w:w="11900" w:h="16838" w:orient="portrait"/>
      <w:cols w:equalWidth="0" w:num="1">
        <w:col w:w="11240"/>
      </w:cols>
      <w:pgMar w:left="320" w:top="99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1."/>
      <w:numFmt w:val="decimal"/>
      <w:start w:val="3"/>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5"/>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6"/>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7"/>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lvl w:ilvl="1">
      <w:lvlJc w:val="left"/>
      <w:lvlText w:val="%2."/>
      <w:numFmt w:val="decimal"/>
      <w:start w:val="12"/>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4"/>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lvl w:ilvl="1">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
      <w:numFmt w:val="bullet"/>
      <w:start w:val="1"/>
    </w:lvl>
    <w:lvl w:ilvl="1">
      <w:lvlJc w:val="left"/>
      <w:lvlText w:val="◦"/>
      <w:numFmt w:val="bullet"/>
      <w:start w:val="1"/>
    </w:lvl>
  </w:abstractNum>
  <w:abstractNum w:abstractNumId="30">
    <w:nsid w:val="7724C67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1">
    <w:nsid w:val="5C482A97"/>
    <w:multiLevelType w:val="hybridMultilevel"/>
    <w:lvl w:ilvl="0">
      <w:lvlJc w:val="left"/>
      <w:lvlText w:val="•"/>
      <w:numFmt w:val="bullet"/>
      <w:start w:val="1"/>
    </w:lvl>
    <w:lvl w:ilvl="1">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
      <w:numFmt w:val="bullet"/>
      <w:start w:val="1"/>
    </w:lvl>
    <w:lvl w:ilvl="1">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
      <w:numFmt w:val="bullet"/>
      <w:start w:val="1"/>
    </w:lvl>
    <w:lvl w:ilvl="1">
      <w:lvlJc w:val="left"/>
      <w:lvlText w:val="%2"/>
      <w:numFmt w:val="decimal"/>
      <w:start w:val="104"/>
    </w:lvl>
  </w:abstractNum>
  <w:abstractNum w:abstractNumId="39">
    <w:nsid w:val="70A64E2A"/>
    <w:multiLevelType w:val="hybridMultilevel"/>
    <w:lvl w:ilvl="0">
      <w:lvlJc w:val="left"/>
      <w:lvlText w:val="**"/>
      <w:numFmt w:val="bullet"/>
      <w:start w:val="1"/>
    </w:lvl>
    <w:lvl w:ilvl="1">
      <w:lvlJc w:val="left"/>
      <w:lvlText w:val="%2"/>
      <w:numFmt w:val="decimal"/>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lowerRoman"/>
      <w:start w:val="1"/>
    </w:lvl>
  </w:abstractNum>
  <w:abstractNum w:abstractNumId="43">
    <w:nsid w:val="725A06FB"/>
    <w:multiLevelType w:val="hybridMultilevel"/>
    <w:lvl w:ilvl="0">
      <w:lvlJc w:val="left"/>
      <w:lvlText w:val="(%1)"/>
      <w:numFmt w:val="lowerRoman"/>
      <w:start w:val="1"/>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2025-05-08T05:54:52Z</dcterms:created>
  <dcterms:modified xsi:type="dcterms:W3CDTF">2025-05-08T05:54:52Z</dcterms:modified>
</cp:coreProperties>
</file>