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216535</wp:posOffset>
            </wp:positionH>
            <wp:positionV relativeFrom="page">
              <wp:posOffset>740410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102235</wp:posOffset>
            </wp:positionV>
            <wp:extent cx="3214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76835</wp:posOffset>
            </wp:positionV>
            <wp:extent cx="3214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68" w:lineRule="exact"/>
        <w:rPr>
          <w:sz w:val="24"/>
          <w:szCs w:val="24"/>
          <w:color w:val="auto"/>
        </w:rPr>
      </w:pPr>
    </w:p>
    <w:p>
      <w:pPr>
        <w:ind w:left="3640" w:right="900" w:hanging="2782"/>
        <w:spacing w:after="0" w:line="315" w:lineRule="auto"/>
        <w:tabs>
          <w:tab w:leader="none" w:pos="120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December 27, 2025</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59" w:lineRule="exact"/>
        <w:rPr>
          <w:sz w:val="24"/>
          <w:szCs w:val="24"/>
          <w:color w:val="auto"/>
        </w:rPr>
      </w:pPr>
    </w:p>
    <w:p>
      <w:pPr>
        <w:jc w:val="center"/>
        <w:ind w:left="4380" w:right="880" w:hanging="3528"/>
        <w:spacing w:after="0" w:line="349" w:lineRule="auto"/>
        <w:tabs>
          <w:tab w:leader="none" w:pos="119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Commission file number: 1-16153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26035</wp:posOffset>
            </wp:positionV>
            <wp:extent cx="3214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Tapestry, Inc.</w:t>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1301" w:right="339" w:bottom="1440" w:gutter="0" w:footer="0" w:header="0"/>
        </w:sectPr>
      </w:pPr>
    </w:p>
    <w:p>
      <w:pPr>
        <w:spacing w:after="0" w:line="108" w:lineRule="exact"/>
        <w:rPr>
          <w:sz w:val="24"/>
          <w:szCs w:val="24"/>
          <w:color w:val="auto"/>
        </w:rPr>
      </w:pPr>
    </w:p>
    <w:p>
      <w:pPr>
        <w:jc w:val="center"/>
        <w:ind w:left="260"/>
        <w:spacing w:after="0"/>
        <w:rPr>
          <w:sz w:val="20"/>
          <w:szCs w:val="20"/>
          <w:color w:val="auto"/>
        </w:rPr>
      </w:pPr>
      <w:r>
        <w:rPr>
          <w:rFonts w:ascii="Times New Roman" w:cs="Times New Roman" w:eastAsia="Times New Roman" w:hAnsi="Times New Roman"/>
          <w:sz w:val="16"/>
          <w:szCs w:val="16"/>
          <w:b w:val="1"/>
          <w:bCs w:val="1"/>
          <w:color w:val="auto"/>
        </w:rPr>
        <w:t>Maryland</w:t>
      </w:r>
    </w:p>
    <w:p>
      <w:pPr>
        <w:spacing w:after="0" w:line="34" w:lineRule="exact"/>
        <w:rPr>
          <w:sz w:val="24"/>
          <w:szCs w:val="24"/>
          <w:color w:val="auto"/>
        </w:rPr>
      </w:pPr>
    </w:p>
    <w:p>
      <w:pPr>
        <w:jc w:val="center"/>
        <w:ind w:left="26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6"/>
          <w:szCs w:val="16"/>
          <w:b w:val="1"/>
          <w:bCs w:val="1"/>
          <w:color w:val="auto"/>
        </w:rPr>
        <w:t>52-2242751</w:t>
      </w:r>
    </w:p>
    <w:p>
      <w:pPr>
        <w:spacing w:after="0" w:line="34"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159" w:lineRule="exact"/>
        <w:rPr>
          <w:sz w:val="24"/>
          <w:szCs w:val="24"/>
          <w:color w:val="auto"/>
        </w:rPr>
      </w:pPr>
    </w:p>
    <w:p>
      <w:pPr>
        <w:sectPr>
          <w:pgSz w:w="11900" w:h="16838" w:orient="portrait"/>
          <w:cols w:equalWidth="0" w:num="2">
            <w:col w:w="6140" w:space="720"/>
            <w:col w:w="4380"/>
          </w:cols>
          <w:pgMar w:left="320" w:top="1301"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10 Hudson Yards, New York, NY 10001</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(Zip Code)</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946-8400</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104140</wp:posOffset>
            </wp:positionV>
            <wp:extent cx="3214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128" w:lineRule="exact"/>
        <w:rPr>
          <w:sz w:val="24"/>
          <w:szCs w:val="24"/>
          <w:color w:val="auto"/>
        </w:rPr>
      </w:pPr>
    </w:p>
    <w:tbl>
      <w:tblPr>
        <w:tblLayout w:type="fixed"/>
        <w:tblInd w:w="1200" w:type="dxa"/>
        <w:tblCellMar>
          <w:top w:w="0" w:type="dxa"/>
          <w:left w:w="0" w:type="dxa"/>
          <w:bottom w:w="0" w:type="dxa"/>
          <w:right w:w="0" w:type="dxa"/>
        </w:tblCellMar>
      </w:tblPr>
      <w:tr>
        <w:trPr>
          <w:trHeight w:val="161"/>
        </w:trPr>
        <w:tc>
          <w:tcPr>
            <w:tcW w:w="31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96"/>
        </w:trPr>
        <w:tc>
          <w:tcPr>
            <w:tcW w:w="3180" w:type="dxa"/>
            <w:vAlign w:val="bottom"/>
            <w:gridSpan w:val="2"/>
            <w:vMerge w:val="continue"/>
          </w:tcPr>
          <w:p>
            <w:pPr>
              <w:spacing w:after="0"/>
              <w:rPr>
                <w:sz w:val="17"/>
                <w:szCs w:val="17"/>
                <w:color w:val="auto"/>
              </w:rPr>
            </w:pPr>
          </w:p>
        </w:tc>
        <w:tc>
          <w:tcPr>
            <w:tcW w:w="3000" w:type="dxa"/>
            <w:vAlign w:val="bottom"/>
            <w:gridSpan w:val="2"/>
            <w:vMerge w:val="continue"/>
          </w:tcPr>
          <w:p>
            <w:pPr>
              <w:spacing w:after="0"/>
              <w:rPr>
                <w:sz w:val="17"/>
                <w:szCs w:val="17"/>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210"/>
        </w:trPr>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$.01 per share</w:t>
            </w:r>
          </w:p>
        </w:tc>
        <w:tc>
          <w:tcPr>
            <w:tcW w:w="340" w:type="dxa"/>
            <w:vAlign w:val="bottom"/>
          </w:tcPr>
          <w:p>
            <w:pPr>
              <w:spacing w:after="0"/>
              <w:rPr>
                <w:sz w:val="18"/>
                <w:szCs w:val="18"/>
                <w:color w:val="auto"/>
              </w:rPr>
            </w:pPr>
          </w:p>
        </w:tc>
        <w:tc>
          <w:tcPr>
            <w:tcW w:w="2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TPR</w:t>
            </w:r>
          </w:p>
        </w:tc>
        <w:tc>
          <w:tcPr>
            <w:tcW w:w="340" w:type="dxa"/>
            <w:vAlign w:val="bottom"/>
          </w:tcPr>
          <w:p>
            <w:pPr>
              <w:spacing w:after="0"/>
              <w:rPr>
                <w:sz w:val="18"/>
                <w:szCs w:val="18"/>
                <w:color w:val="auto"/>
              </w:rPr>
            </w:pPr>
          </w:p>
        </w:tc>
        <w:tc>
          <w:tcPr>
            <w:tcW w:w="2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c>
          <w:tcPr>
            <w:tcW w:w="0" w:type="dxa"/>
            <w:vAlign w:val="bottom"/>
          </w:tcPr>
          <w:p>
            <w:pPr>
              <w:spacing w:after="0"/>
              <w:rPr>
                <w:sz w:val="1"/>
                <w:szCs w:val="1"/>
                <w:color w:val="auto"/>
              </w:rPr>
            </w:pPr>
          </w:p>
        </w:tc>
      </w:tr>
    </w:tbl>
    <w:p>
      <w:pPr>
        <w:spacing w:after="0" w:line="173" w:lineRule="exact"/>
        <w:rPr>
          <w:sz w:val="24"/>
          <w:szCs w:val="24"/>
          <w:color w:val="auto"/>
        </w:rPr>
      </w:pPr>
    </w:p>
    <w:p>
      <w:pPr>
        <w:ind w:firstLine="162"/>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past 90 days.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22" w:lineRule="exact"/>
        <w:rPr>
          <w:sz w:val="24"/>
          <w:szCs w:val="24"/>
          <w:color w:val="auto"/>
        </w:rPr>
      </w:pPr>
    </w:p>
    <w:p>
      <w:pPr>
        <w:ind w:firstLine="162"/>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w:t>
      </w: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7"/>
          <w:szCs w:val="17"/>
          <w:color w:val="auto"/>
        </w:rPr>
        <w:t>No</w:t>
      </w:r>
    </w:p>
    <w:p>
      <w:pPr>
        <w:spacing w:after="0" w:line="112" w:lineRule="exact"/>
        <w:rPr>
          <w:sz w:val="24"/>
          <w:szCs w:val="24"/>
          <w:color w:val="auto"/>
        </w:rPr>
      </w:pPr>
    </w:p>
    <w:p>
      <w:pPr>
        <w:jc w:val="both"/>
        <w:ind w:firstLine="162"/>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301" w:right="339" w:bottom="1440" w:gutter="0" w:footer="0" w:header="0"/>
          <w:type w:val="continuous"/>
        </w:sectPr>
      </w:pPr>
    </w:p>
    <w:p>
      <w:pPr>
        <w:spacing w:after="0" w:line="124" w:lineRule="exact"/>
        <w:rPr>
          <w:sz w:val="24"/>
          <w:szCs w:val="24"/>
          <w:color w:val="auto"/>
        </w:rPr>
      </w:pPr>
    </w:p>
    <w:p>
      <w:pPr>
        <w:ind w:left="20"/>
        <w:spacing w:after="0" w:line="316" w:lineRule="auto"/>
        <w:rPr>
          <w:sz w:val="20"/>
          <w:szCs w:val="20"/>
          <w:color w:val="auto"/>
        </w:rPr>
      </w:pPr>
      <w:r>
        <w:rPr>
          <w:rFonts w:ascii="Times New Roman" w:cs="Times New Roman" w:eastAsia="Times New Roman" w:hAnsi="Times New Roman"/>
          <w:sz w:val="16"/>
          <w:szCs w:val="16"/>
          <w:color w:val="auto"/>
        </w:rPr>
        <w:t>Large accelerated filer Emerging growth company</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12" w:lineRule="exact"/>
        <w:rPr>
          <w:sz w:val="24"/>
          <w:szCs w:val="24"/>
          <w:color w:val="auto"/>
        </w:rPr>
      </w:pPr>
    </w:p>
    <w:p>
      <w:pPr>
        <w:sectPr>
          <w:pgSz w:w="11900" w:h="16838" w:orient="portrait"/>
          <w:cols w:equalWidth="0" w:num="8">
            <w:col w:w="1800" w:space="660"/>
            <w:col w:w="160" w:space="220"/>
            <w:col w:w="1720" w:space="720"/>
            <w:col w:w="160" w:space="220"/>
            <w:col w:w="1760" w:space="720"/>
            <w:col w:w="160" w:space="220"/>
            <w:col w:w="1780" w:space="680"/>
            <w:col w:w="260"/>
          </w:cols>
          <w:pgMar w:left="320" w:top="1301" w:right="339" w:bottom="1440" w:gutter="0" w:footer="0" w:header="0"/>
          <w:type w:val="continuous"/>
        </w:sectPr>
      </w:pPr>
    </w:p>
    <w:p>
      <w:pPr>
        <w:ind w:right="20" w:firstLine="162"/>
        <w:spacing w:after="0" w:line="234"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2" w:lineRule="exact"/>
        <w:rPr>
          <w:sz w:val="24"/>
          <w:szCs w:val="24"/>
          <w:color w:val="auto"/>
        </w:rPr>
      </w:pPr>
    </w:p>
    <w:p>
      <w:pPr>
        <w:ind w:left="18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6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7"/>
          <w:szCs w:val="17"/>
          <w:color w:val="auto"/>
        </w:rPr>
        <w:t>On January 23, 2026, the Registrant had 202,464,223 outstanding shares of common stock, which is the Registrant’s only class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723265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101600</wp:posOffset>
            </wp:positionV>
            <wp:extent cx="71151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76200</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301"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Page Number</w:t>
            </w:r>
          </w:p>
        </w:tc>
      </w:tr>
      <w:tr>
        <w:trPr>
          <w:trHeight w:val="210"/>
        </w:trPr>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540" w:type="dxa"/>
            <w:vAlign w:val="bottom"/>
            <w:gridSpan w:val="9"/>
            <w:shd w:val="clear" w:color="auto" w:fill="CCEEFF"/>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 (unaudited)</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3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189"/>
        </w:trPr>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300" w:type="dxa"/>
            <w:vAlign w:val="bottom"/>
            <w:gridSpan w:val="15"/>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800" w:type="dxa"/>
            <w:vAlign w:val="bottom"/>
            <w:gridSpan w:val="4"/>
            <w:shd w:val="clear" w:color="auto" w:fill="CCEEFF"/>
          </w:tcPr>
          <w:p>
            <w:pPr>
              <w:jc w:val="center"/>
              <w:ind w:left="530"/>
              <w:spacing w:after="0" w:line="189" w:lineRule="exact"/>
              <w:rPr>
                <w:sz w:val="20"/>
                <w:szCs w:val="20"/>
                <w:color w:val="auto"/>
              </w:rPr>
            </w:pPr>
            <w:r>
              <w:rPr>
                <w:rFonts w:ascii="Times New Roman" w:cs="Times New Roman" w:eastAsia="Times New Roman" w:hAnsi="Times New Roman"/>
                <w:sz w:val="18"/>
                <w:szCs w:val="18"/>
                <w:color w:val="0000FF"/>
              </w:rPr>
              <w:t>1</w:t>
            </w:r>
          </w:p>
        </w:tc>
        <w:tc>
          <w:tcPr>
            <w:tcW w:w="6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300" w:type="dxa"/>
            <w:vAlign w:val="bottom"/>
            <w:gridSpan w:val="15"/>
          </w:tcPr>
          <w:p>
            <w:pPr>
              <w:ind w:left="12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800" w:type="dxa"/>
            <w:vAlign w:val="bottom"/>
            <w:gridSpan w:val="4"/>
          </w:tcPr>
          <w:p>
            <w:pPr>
              <w:jc w:val="center"/>
              <w:ind w:left="530"/>
              <w:spacing w:after="0" w:line="189" w:lineRule="exact"/>
              <w:rPr>
                <w:sz w:val="20"/>
                <w:szCs w:val="20"/>
                <w:color w:val="auto"/>
              </w:rPr>
            </w:pPr>
            <w:r>
              <w:rPr>
                <w:rFonts w:ascii="Times New Roman" w:cs="Times New Roman" w:eastAsia="Times New Roman" w:hAnsi="Times New Roman"/>
                <w:sz w:val="18"/>
                <w:szCs w:val="18"/>
                <w:color w:val="0000FF"/>
              </w:rPr>
              <w:t>2</w:t>
            </w:r>
          </w:p>
        </w:tc>
        <w:tc>
          <w:tcPr>
            <w:tcW w:w="6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300" w:type="dxa"/>
            <w:vAlign w:val="bottom"/>
            <w:gridSpan w:val="15"/>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(Loss)</w:t>
            </w:r>
          </w:p>
        </w:tc>
        <w:tc>
          <w:tcPr>
            <w:tcW w:w="800" w:type="dxa"/>
            <w:vAlign w:val="bottom"/>
            <w:gridSpan w:val="4"/>
            <w:shd w:val="clear" w:color="auto" w:fill="CCEEFF"/>
          </w:tcPr>
          <w:p>
            <w:pPr>
              <w:jc w:val="center"/>
              <w:ind w:left="530"/>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6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300" w:type="dxa"/>
            <w:vAlign w:val="bottom"/>
            <w:gridSpan w:val="15"/>
          </w:tcPr>
          <w:p>
            <w:pPr>
              <w:ind w:left="12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800" w:type="dxa"/>
            <w:vAlign w:val="bottom"/>
            <w:gridSpan w:val="4"/>
          </w:tcPr>
          <w:p>
            <w:pPr>
              <w:jc w:val="center"/>
              <w:ind w:left="530"/>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6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300" w:type="dxa"/>
            <w:vAlign w:val="bottom"/>
            <w:gridSpan w:val="15"/>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800" w:type="dxa"/>
            <w:vAlign w:val="bottom"/>
            <w:gridSpan w:val="4"/>
            <w:shd w:val="clear" w:color="auto" w:fill="CCEEFF"/>
          </w:tcPr>
          <w:p>
            <w:pPr>
              <w:jc w:val="center"/>
              <w:ind w:left="530"/>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6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830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42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29</w:t>
            </w: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430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000" w:type="dxa"/>
            <w:vAlign w:val="bottom"/>
            <w:gridSpan w:val="4"/>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0" w:type="dxa"/>
            <w:vAlign w:val="bottom"/>
            <w:gridSpan w:val="4"/>
            <w:shd w:val="clear" w:color="auto" w:fill="CCEEFF"/>
          </w:tcPr>
          <w:p>
            <w:pPr>
              <w:jc w:val="center"/>
              <w:ind w:right="620"/>
              <w:spacing w:after="0" w:line="189" w:lineRule="exact"/>
              <w:rPr>
                <w:sz w:val="20"/>
                <w:szCs w:val="20"/>
                <w:color w:val="auto"/>
              </w:rPr>
            </w:pPr>
            <w:r>
              <w:rPr>
                <w:rFonts w:ascii="Times New Roman" w:cs="Times New Roman" w:eastAsia="Times New Roman" w:hAnsi="Times New Roman"/>
                <w:sz w:val="18"/>
                <w:szCs w:val="18"/>
                <w:color w:val="0000FF"/>
                <w:w w:val="99"/>
              </w:rPr>
              <w:t>49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430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4000" w:type="dxa"/>
            <w:vAlign w:val="bottom"/>
            <w:gridSpan w:val="4"/>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gridSpan w:val="4"/>
          </w:tcPr>
          <w:p>
            <w:pPr>
              <w:jc w:val="center"/>
              <w:ind w:right="620"/>
              <w:spacing w:after="0" w:line="189" w:lineRule="exact"/>
              <w:rPr>
                <w:sz w:val="20"/>
                <w:szCs w:val="20"/>
                <w:color w:val="auto"/>
              </w:rPr>
            </w:pPr>
            <w:r>
              <w:rPr>
                <w:rFonts w:ascii="Times New Roman" w:cs="Times New Roman" w:eastAsia="Times New Roman" w:hAnsi="Times New Roman"/>
                <w:sz w:val="18"/>
                <w:szCs w:val="18"/>
                <w:color w:val="0000FF"/>
                <w:w w:val="99"/>
              </w:rPr>
              <w:t>49</w:t>
            </w: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540" w:type="dxa"/>
            <w:vAlign w:val="bottom"/>
            <w:gridSpan w:val="9"/>
            <w:shd w:val="clear" w:color="auto" w:fill="CCEEFF"/>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8"/>
              </w:rPr>
              <w:t>PART II – OTHER INFORMATION</w:t>
            </w: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830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142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50</w:t>
            </w: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Risk Factors</w:t>
            </w:r>
          </w:p>
        </w:tc>
        <w:tc>
          <w:tcPr>
            <w:tcW w:w="7400" w:type="dxa"/>
            <w:vAlign w:val="bottom"/>
            <w:gridSpan w:val="12"/>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0" w:type="dxa"/>
            <w:vAlign w:val="bottom"/>
            <w:gridSpan w:val="4"/>
            <w:shd w:val="clear" w:color="auto" w:fill="CCEEFF"/>
          </w:tcPr>
          <w:p>
            <w:pPr>
              <w:jc w:val="center"/>
              <w:ind w:right="620"/>
              <w:spacing w:after="0" w:line="189" w:lineRule="exact"/>
              <w:rPr>
                <w:sz w:val="20"/>
                <w:szCs w:val="20"/>
                <w:color w:val="auto"/>
              </w:rPr>
            </w:pPr>
            <w:r>
              <w:rPr>
                <w:rFonts w:ascii="Times New Roman" w:cs="Times New Roman" w:eastAsia="Times New Roman" w:hAnsi="Times New Roman"/>
                <w:sz w:val="18"/>
                <w:szCs w:val="18"/>
                <w:color w:val="0000FF"/>
                <w:w w:val="99"/>
              </w:rPr>
              <w:t>50</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830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 Securities</w:t>
            </w:r>
          </w:p>
        </w:tc>
        <w:tc>
          <w:tcPr>
            <w:tcW w:w="142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50</w:t>
            </w: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830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42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50</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13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7000" w:type="dxa"/>
            <w:vAlign w:val="bottom"/>
            <w:gridSpan w:val="11"/>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gridSpan w:val="4"/>
          </w:tcPr>
          <w:p>
            <w:pPr>
              <w:jc w:val="center"/>
              <w:ind w:right="620"/>
              <w:spacing w:after="0" w:line="189" w:lineRule="exact"/>
              <w:rPr>
                <w:sz w:val="20"/>
                <w:szCs w:val="20"/>
                <w:color w:val="auto"/>
              </w:rPr>
            </w:pPr>
            <w:r>
              <w:rPr>
                <w:rFonts w:ascii="Times New Roman" w:cs="Times New Roman" w:eastAsia="Times New Roman" w:hAnsi="Times New Roman"/>
                <w:sz w:val="18"/>
                <w:szCs w:val="18"/>
                <w:color w:val="0000FF"/>
                <w:w w:val="99"/>
              </w:rPr>
              <w:t>51</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52</w:t>
            </w:r>
          </w:p>
        </w:tc>
      </w:tr>
      <w:tr>
        <w:trPr>
          <w:trHeight w:val="979"/>
        </w:trPr>
        <w:tc>
          <w:tcPr>
            <w:tcW w:w="20" w:type="dxa"/>
            <w:vAlign w:val="bottom"/>
            <w:tcBorders>
              <w:top w:val="single" w:sz="8" w:color="CCEEFF"/>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1280" w:type="dxa"/>
            <w:vAlign w:val="bottom"/>
            <w:tcBorders>
              <w:top w:val="single" w:sz="8" w:color="CCEEFF"/>
              <w:bottom w:val="single" w:sz="8" w:color="9A9A9A"/>
            </w:tcBorders>
          </w:tcPr>
          <w:p>
            <w:pPr>
              <w:spacing w:after="0"/>
              <w:rPr>
                <w:sz w:val="24"/>
                <w:szCs w:val="24"/>
                <w:color w:val="auto"/>
              </w:rPr>
            </w:pPr>
          </w:p>
        </w:tc>
        <w:tc>
          <w:tcPr>
            <w:tcW w:w="74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900" w:type="dxa"/>
            <w:vAlign w:val="bottom"/>
            <w:tcBorders>
              <w:top w:val="single" w:sz="8" w:color="CCEEFF"/>
              <w:bottom w:val="single" w:sz="8" w:color="9A9A9A"/>
            </w:tcBorders>
          </w:tcPr>
          <w:p>
            <w:pPr>
              <w:spacing w:after="0"/>
              <w:rPr>
                <w:sz w:val="24"/>
                <w:szCs w:val="24"/>
                <w:color w:val="auto"/>
              </w:rPr>
            </w:pPr>
          </w:p>
        </w:tc>
        <w:tc>
          <w:tcPr>
            <w:tcW w:w="1240" w:type="dxa"/>
            <w:vAlign w:val="bottom"/>
            <w:tcBorders>
              <w:top w:val="single" w:sz="8" w:color="CCEEFF"/>
              <w:bottom w:val="single" w:sz="8" w:color="9A9A9A"/>
            </w:tcBorders>
          </w:tcPr>
          <w:p>
            <w:pPr>
              <w:spacing w:after="0"/>
              <w:rPr>
                <w:sz w:val="24"/>
                <w:szCs w:val="24"/>
                <w:color w:val="auto"/>
              </w:rPr>
            </w:pPr>
          </w:p>
        </w:tc>
        <w:tc>
          <w:tcPr>
            <w:tcW w:w="660" w:type="dxa"/>
            <w:vAlign w:val="bottom"/>
            <w:tcBorders>
              <w:top w:val="single" w:sz="8" w:color="CCEEFF"/>
              <w:bottom w:val="single" w:sz="8" w:color="9A9A9A"/>
            </w:tcBorders>
          </w:tcPr>
          <w:p>
            <w:pPr>
              <w:spacing w:after="0"/>
              <w:rPr>
                <w:sz w:val="24"/>
                <w:szCs w:val="24"/>
                <w:color w:val="auto"/>
              </w:rPr>
            </w:pPr>
          </w:p>
        </w:tc>
        <w:tc>
          <w:tcPr>
            <w:tcW w:w="1200" w:type="dxa"/>
            <w:vAlign w:val="bottom"/>
            <w:tcBorders>
              <w:top w:val="single" w:sz="8" w:color="CCEEFF"/>
              <w:bottom w:val="single" w:sz="8" w:color="9A9A9A"/>
            </w:tcBorders>
          </w:tcPr>
          <w:p>
            <w:pPr>
              <w:spacing w:after="0"/>
              <w:rPr>
                <w:sz w:val="24"/>
                <w:szCs w:val="24"/>
                <w:color w:val="auto"/>
              </w:rPr>
            </w:pPr>
          </w:p>
        </w:tc>
        <w:tc>
          <w:tcPr>
            <w:tcW w:w="6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62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 this Form 10-Q, references to “we,” “our,” “us,” "Tapestry" and the “Company” refer to Tapestry, Inc., including consolidated subsidiaries. References to "Coach," "Kate Spade" or "kate spade new york" refer only to the referenced brand.</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ON FORWARD-LOOKING INFORMATION</w:t>
      </w:r>
    </w:p>
    <w:p>
      <w:pPr>
        <w:spacing w:after="0" w:line="12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This document, and the documents incorporated by reference in this document, our press releases and oral statements made from time to time by us or on our behalf, may contain certain "forward-looking statements" within the meaning of the federal securities laws, including Section 27A of the Securities Act of 1933, as amended, and Section 21E of the Securities Exchange Act of 1934, as amended, and are based on management's current expectations, that involve risks and uncertainties that could cause our actual results to differ materially from our current expectations. In this context, forward-looking statements often address expected future business and financial performance and financial condition, and often contain words such as "may," "can," "if," "continue," "project," "assumption," "should," "expect," "confidence," "goals," "trends," "anticipate," "intend," "estimate," "on track," "future," "well positioned to," "plan," "potential," "position," "deliver," "believe," "seek," "see," "will," "would," "uncertain," "achieve," "strategic," "growth," "target," "guidance," "forecast," "outlook," "commit," "innovation," "drive," "leverage," "generate," "enhance," "effort," "progress," "amplify," "we can stretch what’s possible," similar expressions, and variations or negatives of these words. They include, without limitation, statements regarding future anticipated capital expenditures. Forward-looking statements by their nature address matters that are, to different degrees, uncertain. Such statements involve risks, uncertainties and assumptions. If such risks or uncertainties materialize or such assumptions prove incorrect, the results of Tapestry, Inc. and its consolidated subsidiaries could differ materially from those expressed or implied by such forward-looking statements and assumptions. All statements other than statements of historical fact are statements that could be deemed forward-looking statements. Tapestry, Inc. assumes no obligation to revise or update any such forward-looking statements for any reason, except as required by law.</w:t>
      </w:r>
    </w:p>
    <w:p>
      <w:pPr>
        <w:spacing w:after="0" w:line="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Tapestry, Inc.’s actual results could differ materially from the results contemplated by these forward-looking statements and are subject to a number of risks, uncertainties, estimates and assumptions that may cause actual results to differ materially from current expectations due to a number of factors, including, but not limited to: (i) the impact of international trade disputes and the risks associated with potential changes to international trade agreements, including the imposition or threat of imposition of new or increased tariffs or retaliatory tariffs implemented by countries where our manufacturers are located as well as the imposition of additional duties on the products we import; (ii) the impact of economic conditions, recession and inflationary measures; (iii) our exposure to international risks, including currency fluctuations and changes in economic or political conditions in the markets where we sell or source our products; (iv) our ability to retain the value of our brands and to respond to changing fashion and retail trends in a timely manner, including our ability to execute on our e-commerce and digital strategies; (v) the impact of tax and other legislation; (vi) the ability to successfully implement the initiatives under our 2028 Amplify growth strategy; (vii) the effect of existing and new competition in the marketplace; (viii) our ability to successfully identify and implement any sales, acquisitions or strategic transactions on attractive terms or at all, including our sale of the Stuart Weitzman Business; (ix) our ability to achieve intended benefits, cost savings and synergies from acquisitions; (x) our ability to control costs; (xi) the effect of seasonal and quarterly fluctuations on our sales or operating results; (xii) the risk of cyber security threats and privacy or data security breaches; (xiii) our ability to satisfy our outstanding debt obligations or incur additional indebtedness; (xiv) the risks associated with climate change and other corporate responsibility issues; (xv) our ability to protect against infringement of our trademarks and other proprietary rights; (xvi) the impact of pending and potential future legal proceedings and (xvii) such other risk factors as set forth in Part II, Item 1A. "Risk Factors" and elsewhere in this report and in the Company’s Annual Report on Form 10-K for the fiscal year ended June 28, 2025. These factors are not necessarily all of the factors that could cause actual results to differ materially from those expressed in any of our forward-looking statements.</w:t>
      </w:r>
    </w:p>
    <w:p>
      <w:pPr>
        <w:spacing w:after="0" w:line="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Tapestry's quarterly financial results and other important information are available by calling the Investor Relations Department at (212) 629-2618.</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Tapestry maintains its website at </w:t>
      </w:r>
      <w:r>
        <w:rPr>
          <w:rFonts w:ascii="Times New Roman" w:cs="Times New Roman" w:eastAsia="Times New Roman" w:hAnsi="Times New Roman"/>
          <w:sz w:val="18"/>
          <w:szCs w:val="18"/>
          <w:u w:val="single" w:color="auto"/>
          <w:color w:val="auto"/>
        </w:rPr>
        <w:t>www.tapestry.com</w:t>
      </w:r>
      <w:r>
        <w:rPr>
          <w:rFonts w:ascii="Times New Roman" w:cs="Times New Roman" w:eastAsia="Times New Roman" w:hAnsi="Times New Roman"/>
          <w:sz w:val="18"/>
          <w:szCs w:val="18"/>
          <w:color w:val="auto"/>
        </w:rPr>
        <w:t xml:space="preserve"> where investors and other interested parties may obtain, free of charge, press releases and other information as well as gain access to our periodic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27,</w:t>
            </w:r>
          </w:p>
        </w:tc>
        <w:tc>
          <w:tcPr>
            <w:tcW w:w="360" w:type="dxa"/>
            <w:vAlign w:val="bottom"/>
          </w:tcPr>
          <w:p>
            <w:pPr>
              <w:spacing w:after="0"/>
              <w:rPr>
                <w:sz w:val="17"/>
                <w:szCs w:val="17"/>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June 28,</w:t>
            </w:r>
          </w:p>
        </w:tc>
        <w:tc>
          <w:tcPr>
            <w:tcW w:w="0" w:type="dxa"/>
            <w:vAlign w:val="bottom"/>
          </w:tcPr>
          <w:p>
            <w:pPr>
              <w:spacing w:after="0"/>
              <w:rPr>
                <w:sz w:val="1"/>
                <w:szCs w:val="1"/>
                <w:color w:val="auto"/>
              </w:rPr>
            </w:pPr>
          </w:p>
        </w:tc>
      </w:tr>
      <w:tr>
        <w:trPr>
          <w:trHeight w:val="241"/>
        </w:trPr>
        <w:tc>
          <w:tcPr>
            <w:tcW w:w="8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186"/>
        </w:trPr>
        <w:tc>
          <w:tcPr>
            <w:tcW w:w="8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40" w:type="dxa"/>
            <w:vAlign w:val="bottom"/>
            <w:shd w:val="clear" w:color="auto" w:fill="CCEEFF"/>
          </w:tcPr>
          <w:p>
            <w:pPr>
              <w:ind w:left="37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0" w:type="dxa"/>
            <w:vAlign w:val="bottom"/>
          </w:tcPr>
          <w:p>
            <w:pPr>
              <w:spacing w:after="0"/>
              <w:rPr>
                <w:sz w:val="1"/>
                <w:szCs w:val="1"/>
                <w:color w:val="auto"/>
              </w:rPr>
            </w:pPr>
          </w:p>
        </w:tc>
      </w:tr>
      <w:tr>
        <w:trPr>
          <w:trHeight w:val="230"/>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accounts receivable, less allowances for credit losses of $7.2 and $5.7, respectively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0" w:type="dxa"/>
            <w:vAlign w:val="bottom"/>
          </w:tcPr>
          <w:p>
            <w:pPr>
              <w:spacing w:after="0"/>
              <w:rPr>
                <w:sz w:val="1"/>
                <w:szCs w:val="1"/>
                <w:color w:val="auto"/>
              </w:rPr>
            </w:pPr>
          </w:p>
        </w:tc>
      </w:tr>
      <w:tr>
        <w:trPr>
          <w:trHeight w:val="229"/>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860.7</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receivable</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0" w:type="dxa"/>
            <w:vAlign w:val="bottom"/>
          </w:tcPr>
          <w:p>
            <w:pPr>
              <w:spacing w:after="0"/>
              <w:rPr>
                <w:sz w:val="1"/>
                <w:szCs w:val="1"/>
                <w:color w:val="auto"/>
              </w:rPr>
            </w:pPr>
          </w:p>
        </w:tc>
      </w:tr>
      <w:tr>
        <w:trPr>
          <w:trHeight w:val="229"/>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30"/>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Assets held for sale</w:t>
            </w: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0" w:type="dxa"/>
            <w:vAlign w:val="bottom"/>
          </w:tcPr>
          <w:p>
            <w:pPr>
              <w:spacing w:after="0"/>
              <w:rPr>
                <w:sz w:val="1"/>
                <w:szCs w:val="1"/>
                <w:color w:val="auto"/>
              </w:rPr>
            </w:pPr>
          </w:p>
        </w:tc>
      </w:tr>
      <w:tr>
        <w:trPr>
          <w:trHeight w:val="223"/>
        </w:trPr>
        <w:tc>
          <w:tcPr>
            <w:tcW w:w="81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2,790.8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2,905.6</w:t>
            </w:r>
          </w:p>
        </w:tc>
        <w:tc>
          <w:tcPr>
            <w:tcW w:w="0" w:type="dxa"/>
            <w:vAlign w:val="bottom"/>
          </w:tcPr>
          <w:p>
            <w:pPr>
              <w:spacing w:after="0"/>
              <w:rPr>
                <w:sz w:val="1"/>
                <w:szCs w:val="1"/>
                <w:color w:val="auto"/>
              </w:rPr>
            </w:pPr>
          </w:p>
        </w:tc>
      </w:tr>
      <w:tr>
        <w:trPr>
          <w:trHeight w:val="230"/>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$1,259.6 and $1,215.0, respectively</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0" w:type="dxa"/>
            <w:vAlign w:val="bottom"/>
          </w:tcPr>
          <w:p>
            <w:pPr>
              <w:spacing w:after="0"/>
              <w:rPr>
                <w:sz w:val="1"/>
                <w:szCs w:val="1"/>
                <w:color w:val="auto"/>
              </w:rPr>
            </w:pPr>
          </w:p>
        </w:tc>
      </w:tr>
      <w:tr>
        <w:trPr>
          <w:trHeight w:val="230"/>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983.3</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0" w:type="dxa"/>
            <w:vAlign w:val="bottom"/>
          </w:tcPr>
          <w:p>
            <w:pPr>
              <w:spacing w:after="0"/>
              <w:rPr>
                <w:sz w:val="1"/>
                <w:szCs w:val="1"/>
                <w:color w:val="auto"/>
              </w:rPr>
            </w:pPr>
          </w:p>
        </w:tc>
      </w:tr>
      <w:tr>
        <w:trPr>
          <w:trHeight w:val="229"/>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23"/>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6,531.0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6,580.5</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40" w:type="dxa"/>
            <w:vAlign w:val="bottom"/>
            <w:shd w:val="clear" w:color="auto" w:fill="CCEEFF"/>
          </w:tcPr>
          <w:p>
            <w:pPr>
              <w:ind w:left="21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0" w:type="dxa"/>
            <w:vAlign w:val="bottom"/>
          </w:tcPr>
          <w:p>
            <w:pPr>
              <w:spacing w:after="0"/>
              <w:rPr>
                <w:sz w:val="1"/>
                <w:szCs w:val="1"/>
                <w:color w:val="auto"/>
              </w:rPr>
            </w:pPr>
          </w:p>
        </w:tc>
      </w:tr>
      <w:tr>
        <w:trPr>
          <w:trHeight w:val="230"/>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736.9</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0" w:type="dxa"/>
            <w:vAlign w:val="bottom"/>
          </w:tcPr>
          <w:p>
            <w:pPr>
              <w:spacing w:after="0"/>
              <w:rPr>
                <w:sz w:val="1"/>
                <w:szCs w:val="1"/>
                <w:color w:val="auto"/>
              </w:rPr>
            </w:pPr>
          </w:p>
        </w:tc>
      </w:tr>
      <w:tr>
        <w:trPr>
          <w:trHeight w:val="230"/>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debt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23"/>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1,716.6</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1,556.9</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2,377.9</w:t>
            </w:r>
          </w:p>
        </w:tc>
        <w:tc>
          <w:tcPr>
            <w:tcW w:w="0" w:type="dxa"/>
            <w:vAlign w:val="bottom"/>
          </w:tcPr>
          <w:p>
            <w:pPr>
              <w:spacing w:after="0"/>
              <w:rPr>
                <w:sz w:val="1"/>
                <w:szCs w:val="1"/>
                <w:color w:val="auto"/>
              </w:rPr>
            </w:pPr>
          </w:p>
        </w:tc>
      </w:tr>
      <w:tr>
        <w:trPr>
          <w:trHeight w:val="230"/>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5,979.8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5,722.7</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See Note 14 on commitments and contingencies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 (authorized 25.0 million shares; $0.01 par value per share) none issued</w:t>
            </w: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1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(authorized 1.00 billion shares; $0.01 par value per share) issued and outstanding - 202.7</w:t>
            </w:r>
          </w:p>
        </w:tc>
        <w:tc>
          <w:tcPr>
            <w:tcW w:w="16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million and 208.1 million shares, respectively</w:t>
            </w:r>
          </w:p>
        </w:tc>
        <w:tc>
          <w:tcPr>
            <w:tcW w:w="16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4,037.7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3,673.7</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(2,556.8)</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w:t>
            </w:r>
          </w:p>
        </w:tc>
        <w:tc>
          <w:tcPr>
            <w:tcW w:w="0" w:type="dxa"/>
            <w:vAlign w:val="bottom"/>
          </w:tcPr>
          <w:p>
            <w:pPr>
              <w:spacing w:after="0"/>
              <w:rPr>
                <w:sz w:val="1"/>
                <w:szCs w:val="1"/>
                <w:color w:val="auto"/>
              </w:rPr>
            </w:pPr>
          </w:p>
        </w:tc>
      </w:tr>
      <w:tr>
        <w:trPr>
          <w:trHeight w:val="223"/>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6,531.0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6,580.5</w:t>
            </w:r>
          </w:p>
        </w:tc>
        <w:tc>
          <w:tcPr>
            <w:tcW w:w="0" w:type="dxa"/>
            <w:vAlign w:val="bottom"/>
          </w:tcPr>
          <w:p>
            <w:pPr>
              <w:spacing w:after="0"/>
              <w:rPr>
                <w:sz w:val="1"/>
                <w:szCs w:val="1"/>
                <w:color w:val="auto"/>
              </w:rPr>
            </w:pPr>
          </w:p>
        </w:tc>
      </w:tr>
      <w:tr>
        <w:trPr>
          <w:trHeight w:val="21"/>
        </w:trPr>
        <w:tc>
          <w:tcPr>
            <w:tcW w:w="8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7"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tcBorders>
              <w:right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2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December 27,</w:t>
            </w: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December 28,</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December 27,</w:t>
            </w:r>
          </w:p>
        </w:tc>
        <w:tc>
          <w:tcPr>
            <w:tcW w:w="1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190"/>
              <w:spacing w:after="0" w:line="169" w:lineRule="exact"/>
              <w:rPr>
                <w:sz w:val="20"/>
                <w:szCs w:val="20"/>
                <w:color w:val="auto"/>
              </w:rPr>
            </w:pPr>
            <w:r>
              <w:rPr>
                <w:rFonts w:ascii="Times New Roman" w:cs="Times New Roman" w:eastAsia="Times New Roman" w:hAnsi="Times New Roman"/>
                <w:sz w:val="18"/>
                <w:szCs w:val="18"/>
                <w:color w:val="auto"/>
              </w:rPr>
              <w:t>December 28,</w:t>
            </w:r>
          </w:p>
        </w:tc>
        <w:tc>
          <w:tcPr>
            <w:tcW w:w="0" w:type="dxa"/>
            <w:vAlign w:val="bottom"/>
          </w:tcPr>
          <w:p>
            <w:pPr>
              <w:spacing w:after="0"/>
              <w:rPr>
                <w:sz w:val="1"/>
                <w:szCs w:val="1"/>
                <w:color w:val="auto"/>
              </w:rPr>
            </w:pPr>
          </w:p>
        </w:tc>
      </w:tr>
      <w:tr>
        <w:trPr>
          <w:trHeight w:val="241"/>
        </w:trPr>
        <w:tc>
          <w:tcPr>
            <w:tcW w:w="4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86"/>
        </w:trPr>
        <w:tc>
          <w:tcPr>
            <w:tcW w:w="4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20" w:type="dxa"/>
            <w:vAlign w:val="bottom"/>
            <w:gridSpan w:val="4"/>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0" w:type="dxa"/>
            <w:vAlign w:val="bottom"/>
          </w:tcPr>
          <w:p>
            <w:pPr>
              <w:spacing w:after="0"/>
              <w:rPr>
                <w:sz w:val="1"/>
                <w:szCs w:val="1"/>
                <w:color w:val="auto"/>
              </w:rPr>
            </w:pPr>
          </w:p>
        </w:tc>
      </w:tr>
      <w:tr>
        <w:trPr>
          <w:trHeight w:val="191"/>
        </w:trPr>
        <w:tc>
          <w:tcPr>
            <w:tcW w:w="4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tcBorders>
              <w:right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20" w:type="dxa"/>
            <w:vAlign w:val="bottom"/>
            <w:gridSpan w:val="4"/>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3"/>
        </w:trPr>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3,702.9</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1,018.1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2,768.0</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2,144.3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2,023.2</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b w:val="1"/>
                <w:bCs w:val="1"/>
                <w:color w:val="auto"/>
              </w:rPr>
              <w:t>Diluted</w:t>
            </w: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2.68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1.38</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3.93</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net income (loss) per share:</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205.9</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left="526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40" w:type="dxa"/>
            <w:vAlign w:val="bottom"/>
            <w:tcBorders>
              <w:right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4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169"/>
        </w:trPr>
        <w:tc>
          <w:tcPr>
            <w:tcW w:w="4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gridSpan w:val="2"/>
          </w:tcPr>
          <w:p>
            <w:pPr>
              <w:ind w:left="120"/>
              <w:spacing w:after="0" w:line="169" w:lineRule="exact"/>
              <w:rPr>
                <w:sz w:val="20"/>
                <w:szCs w:val="20"/>
                <w:color w:val="auto"/>
              </w:rPr>
            </w:pPr>
            <w:r>
              <w:rPr>
                <w:rFonts w:ascii="Times New Roman" w:cs="Times New Roman" w:eastAsia="Times New Roman" w:hAnsi="Times New Roman"/>
                <w:sz w:val="18"/>
                <w:szCs w:val="18"/>
                <w:b w:val="1"/>
                <w:bCs w:val="1"/>
                <w:color w:val="auto"/>
              </w:rPr>
              <w:t>December 27,</w:t>
            </w:r>
          </w:p>
        </w:tc>
        <w:tc>
          <w:tcPr>
            <w:tcW w:w="2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rPr>
              <w:t>December 28,</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December 27,</w:t>
            </w:r>
          </w:p>
        </w:tc>
        <w:tc>
          <w:tcPr>
            <w:tcW w:w="3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250"/>
              <w:spacing w:after="0" w:line="169" w:lineRule="exact"/>
              <w:rPr>
                <w:sz w:val="20"/>
                <w:szCs w:val="20"/>
                <w:color w:val="auto"/>
              </w:rPr>
            </w:pPr>
            <w:r>
              <w:rPr>
                <w:rFonts w:ascii="Times New Roman" w:cs="Times New Roman" w:eastAsia="Times New Roman" w:hAnsi="Times New Roman"/>
                <w:sz w:val="18"/>
                <w:szCs w:val="18"/>
                <w:color w:val="auto"/>
                <w:w w:val="98"/>
              </w:rPr>
              <w:t>December 28,</w:t>
            </w:r>
          </w:p>
        </w:tc>
        <w:tc>
          <w:tcPr>
            <w:tcW w:w="0" w:type="dxa"/>
            <w:vAlign w:val="bottom"/>
          </w:tcPr>
          <w:p>
            <w:pPr>
              <w:spacing w:after="0"/>
              <w:rPr>
                <w:sz w:val="1"/>
                <w:szCs w:val="1"/>
                <w:color w:val="auto"/>
              </w:rPr>
            </w:pPr>
          </w:p>
        </w:tc>
      </w:tr>
      <w:tr>
        <w:trPr>
          <w:trHeight w:val="241"/>
        </w:trPr>
        <w:tc>
          <w:tcPr>
            <w:tcW w:w="4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86"/>
        </w:trPr>
        <w:tc>
          <w:tcPr>
            <w:tcW w:w="4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3"/>
          </w:tcPr>
          <w:p>
            <w:pPr>
              <w:jc w:val="center"/>
              <w:ind w:left="953"/>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3"/>
          </w:tcPr>
          <w:p>
            <w:pPr>
              <w:jc w:val="center"/>
              <w:ind w:left="1053"/>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3"/>
          </w:tcPr>
          <w:p>
            <w:pPr>
              <w:jc w:val="center"/>
              <w:ind w:left="95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3"/>
          </w:tcPr>
          <w:p>
            <w:pPr>
              <w:jc w:val="center"/>
              <w:ind w:left="107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2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Unrealized gains (losses) on cash flow hedging</w:t>
            </w:r>
          </w:p>
        </w:tc>
        <w:tc>
          <w:tcPr>
            <w:tcW w:w="22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derivatives, net</w:t>
            </w:r>
          </w:p>
        </w:tc>
        <w:tc>
          <w:tcPr>
            <w:tcW w:w="220" w:type="dxa"/>
            <w:vAlign w:val="bottom"/>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175"/>
        </w:trPr>
        <w:tc>
          <w:tcPr>
            <w:tcW w:w="42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Unrealized gains (losses) on available-for-sale</w:t>
            </w:r>
          </w:p>
        </w:tc>
        <w:tc>
          <w:tcPr>
            <w:tcW w:w="220" w:type="dxa"/>
            <w:vAlign w:val="bottom"/>
          </w:tcPr>
          <w:p>
            <w:pPr>
              <w:spacing w:after="0"/>
              <w:rPr>
                <w:sz w:val="15"/>
                <w:szCs w:val="15"/>
                <w:color w:val="auto"/>
              </w:rPr>
            </w:pPr>
          </w:p>
        </w:tc>
        <w:tc>
          <w:tcPr>
            <w:tcW w:w="1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investments, net</w:t>
            </w:r>
          </w:p>
        </w:tc>
        <w:tc>
          <w:tcPr>
            <w:tcW w:w="220" w:type="dxa"/>
            <w:vAlign w:val="bottom"/>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ind w:left="526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0" w:type="dxa"/>
            <w:vAlign w:val="bottom"/>
            <w:gridSpan w:val="4"/>
          </w:tcPr>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78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169"/>
        </w:trPr>
        <w:tc>
          <w:tcPr>
            <w:tcW w:w="7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December 27,</w:t>
            </w:r>
          </w:p>
        </w:tc>
        <w:tc>
          <w:tcPr>
            <w:tcW w:w="300" w:type="dxa"/>
            <w:vAlign w:val="bottom"/>
          </w:tcPr>
          <w:p>
            <w:pPr>
              <w:spacing w:after="0"/>
              <w:rPr>
                <w:sz w:val="14"/>
                <w:szCs w:val="14"/>
                <w:color w:val="auto"/>
              </w:rPr>
            </w:pPr>
          </w:p>
        </w:tc>
        <w:tc>
          <w:tcPr>
            <w:tcW w:w="134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color w:val="auto"/>
                <w:w w:val="98"/>
              </w:rPr>
              <w:t>December 28,</w:t>
            </w:r>
          </w:p>
        </w:tc>
        <w:tc>
          <w:tcPr>
            <w:tcW w:w="0" w:type="dxa"/>
            <w:vAlign w:val="bottom"/>
          </w:tcPr>
          <w:p>
            <w:pPr>
              <w:spacing w:after="0"/>
              <w:rPr>
                <w:sz w:val="1"/>
                <w:szCs w:val="1"/>
                <w:color w:val="auto"/>
              </w:rPr>
            </w:pPr>
          </w:p>
        </w:tc>
      </w:tr>
      <w:tr>
        <w:trPr>
          <w:trHeight w:val="241"/>
        </w:trPr>
        <w:tc>
          <w:tcPr>
            <w:tcW w:w="7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86"/>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3"/>
          </w:tcPr>
          <w:p>
            <w:pPr>
              <w:jc w:val="center"/>
              <w:ind w:left="105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3"/>
          </w:tcPr>
          <w:p>
            <w:pPr>
              <w:jc w:val="center"/>
              <w:ind w:left="103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PROVIDED BY (USED IN) OPERATING ACTIVITIES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836.1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Amortization of cloud computing arrangements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9"/>
        </w:trPr>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Provision for bad debt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29"/>
        </w:trPr>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9"/>
        </w:trPr>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Changes to lease related balances, net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non-cash charges, net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30"/>
        </w:trPr>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29"/>
        </w:trPr>
        <w:tc>
          <w:tcPr>
            <w:tcW w:w="7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29"/>
        </w:trPr>
        <w:tc>
          <w:tcPr>
            <w:tcW w:w="7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PROVIDED BY (USED IN) INVESTING ACTIVITIES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(1,885.5)</w:t>
            </w:r>
          </w:p>
        </w:tc>
        <w:tc>
          <w:tcPr>
            <w:tcW w:w="0" w:type="dxa"/>
            <w:vAlign w:val="bottom"/>
          </w:tcPr>
          <w:p>
            <w:pPr>
              <w:spacing w:after="0"/>
              <w:rPr>
                <w:sz w:val="1"/>
                <w:szCs w:val="1"/>
                <w:color w:val="auto"/>
              </w:rPr>
            </w:pPr>
          </w:p>
        </w:tc>
      </w:tr>
      <w:tr>
        <w:trPr>
          <w:trHeight w:val="230"/>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maturities and sales of investments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2,921.4</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Proceeds from sale of business, net of cash divested</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979.4</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PROVIDED BY (USED IN) FINANCING ACTIVITIES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 of dividends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0" w:type="dxa"/>
            <w:vAlign w:val="bottom"/>
          </w:tcPr>
          <w:p>
            <w:pPr>
              <w:spacing w:after="0"/>
              <w:rPr>
                <w:sz w:val="1"/>
                <w:szCs w:val="1"/>
                <w:color w:val="auto"/>
              </w:rPr>
            </w:pPr>
          </w:p>
        </w:tc>
      </w:tr>
      <w:tr>
        <w:trPr>
          <w:trHeight w:val="230"/>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(1,613.0)</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 repurchase not yet settled</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30"/>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issuance of debt, net of discount</w:t>
            </w: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0"/>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of debt extinguishment costs</w:t>
            </w: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 of debt</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(6,859.9)</w:t>
            </w:r>
          </w:p>
        </w:tc>
        <w:tc>
          <w:tcPr>
            <w:tcW w:w="0" w:type="dxa"/>
            <w:vAlign w:val="bottom"/>
          </w:tcPr>
          <w:p>
            <w:pPr>
              <w:spacing w:after="0"/>
              <w:rPr>
                <w:sz w:val="1"/>
                <w:szCs w:val="1"/>
                <w:color w:val="auto"/>
              </w:rPr>
            </w:pPr>
          </w:p>
        </w:tc>
      </w:tr>
      <w:tr>
        <w:trPr>
          <w:trHeight w:val="230"/>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share-based awards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Taxes paid to net settle share-based awards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30"/>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 of revolving credit facility</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0"/>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of finance lease liabilities</w:t>
            </w: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78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(1,256.5)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(6,775.8)</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(5,158.6)</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6,142.0</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8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Cash paid for interest</w:t>
            </w: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124.1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324.9</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activity - property and equipment obligations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 w:name="page8"/>
    <w:bookmarkEnd w:id="7"/>
    <w:p>
      <w:pPr>
        <w:ind w:left="492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Tapestry, Inc. (the "Company") is a house of iconic accessories and lifestyle brands. Our global house of brands unites the magic of Coach and kate spade new york. Each of our brands are unique and independent, while sharing a commitment to innovation and authenticity defined by distinctive products and differentiated customer experiences across channels and geographies. We use our collective strengths to move our customers and empower our communities, to make the fashion industry more sustainable, and to harness the power of an inclusive culture. Individually, our brands are iconic. Together, we can stretch what’s possible.</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Coach and Kate Spade segments include global sales of products to customers through our direct-to-consumer ("DTC"), wholesale and licensing businesses. On August 4, 2025, the Company completed the previously announced sale of the Stuart Weitzman Business (defined below). Refer to Note 5, "Acquisitions and Divestitures," for further information.</w:t>
      </w:r>
    </w:p>
    <w:p>
      <w:pPr>
        <w:spacing w:after="0" w:line="172" w:lineRule="exact"/>
        <w:rPr>
          <w:sz w:val="20"/>
          <w:szCs w:val="20"/>
          <w:color w:val="auto"/>
        </w:rPr>
      </w:pPr>
    </w:p>
    <w:p>
      <w:pPr>
        <w:ind w:left="340" w:right="6800" w:hanging="251"/>
        <w:spacing w:after="0" w:line="377" w:lineRule="auto"/>
        <w:tabs>
          <w:tab w:leader="none" w:pos="277"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AND ORGANIZATION </w:t>
      </w:r>
      <w:r>
        <w:rPr>
          <w:rFonts w:ascii="Times New Roman" w:cs="Times New Roman" w:eastAsia="Times New Roman" w:hAnsi="Times New Roman"/>
          <w:sz w:val="18"/>
          <w:szCs w:val="18"/>
          <w:b w:val="1"/>
          <w:bCs w:val="1"/>
          <w:i w:val="1"/>
          <w:iCs w:val="1"/>
          <w:color w:val="auto"/>
        </w:rPr>
        <w:t>Interim Financial Statements</w:t>
      </w:r>
    </w:p>
    <w:p>
      <w:pPr>
        <w:spacing w:after="0" w:line="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have been prepared pursuant to the rules and regulations of the Securities and Exchange Commission ("SEC"). In the opinion of management, such condensed consolidated financial statements contain all normal and recurring adjustments necessary to present fairly the condensed consolidated financial position, results of operations, comprehensive income (loss) and cash flows of the Company for the interim periods presented. In addition, certain information and footnote disclosures normally included in financial statements prepared in accordance with accounting principles generally accepted in the U.S. ("U.S. GAAP") have been condensed or omitted from this report as is permitted by the SEC's rules and regulations. However, the Company believes that the disclosures provided herein are adequate to prevent the information presented from being misleading. This report should be read in conjunction with the audited consolidated financial statements and notes thereto, included in the Company’s Annual Report on Form 10-K for the year ended June 28, 2025 ("fiscal 2025") and other filings filed with the SEC.</w:t>
      </w:r>
    </w:p>
    <w:p>
      <w:pPr>
        <w:spacing w:after="0" w:line="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results of operations, cash flows and comprehensive income for the six months ended December 27, 2025 are not necessarily indicative of results to be expected for the entire fiscal year, which will end on June 27, 2026 ("fiscal 2026").</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Fiscal Periods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utilizes a 52-53 week fiscal year ending on the Saturday closest to June 30. Fiscal 2026 will be a 52-week period. Fiscal 2025, which ended on June 28, 2025, was also a 52-week period. The second quarter of fiscal 2026, which ended on December 27, 2025 and the second quarter of fiscal 2025, which ended on December 28, 2024, were both 13-week periods.</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condensed consolidated financial statements and footnotes thereto. Actual results could differ from estimates in amounts that may be material to the financial statements.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Significant estimates inherent in the preparation of the condensed consolidated financial statements include reserves for the realizability of inventory; asset retirement obligations; customer returns, end-of-season markdowns and operational chargebacks; useful lives and impairments of long-lived tangible and intangible assets; accounting for income taxes and related uncertain tax positions; accounting for business combinations; the valuation of share-based compensation awards and related expected forfeiture rates; reserves for restructuring; and reserves for litigation and other contingencies, amongst others.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include the accounts of the Company and all 100% owned and controlled subsidiaries. All intercompany transactions and balances are eliminated in consolidation.</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GAAP requires the consolidation of all entities for which a company has a controlling voting interest and all variable interest entities (“VIEs”) for which a company is deemed to be the primary beneficiary. An entity is generally a VIE if it meets any of the following criteria: (i) the entity has insufficient equity to finance its activities without additional subordinated financial support from other parties, (ii) the equity investors cannot make significant decisions about the entity’s operations or (iii) the voting rights of some investors are not proportional to their obligations to absorb the expected losses of the entity or receive the expected returns of the entity and substantially all of the entity’s activities involve or are conducted on behalf of the investor with disproportionately few voting rights.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accounts for stock repurchases by allocating the repurchase price to Common stock and Retained earnings (accumulated deficit). Under Maryland law, the Company's state of incorporation, there are no treasury shares. All repurchased shares are authorized but unissued shares; these shares may be issued in the future for general corporate and other purposes. The Company may terminate or limit the stock repurchase program at any time. The Company accrues for the shares purchased under the share repurchase plan based on the trade date. Purchases of the Company's common stock may be executed through open market purchases including through purchase agreements under Rule 10b5-1, in privately negotiated transactions or in other transactions, including accelerated share repurchase programs. Excise tax on net share repurchases is recorded in Retained earnings (accumulated deficit) as part of Stockholders' Equity.</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To improve our working capital efficiency, the Company makes available to certain suppliers a voluntary supply chain finance (“SCF”) program that enables our suppliers to sell their receivables from the Company to a global financial institution on a non-recourse basis at a rate that leverages our credit rating. The Company does not have the ability to refinance or modify payment terms to the global financial institution through the SCF program. No guarantees are provided by the Company or any of our subsidiaries under the SCF program. The Company’s payment obligations, including the amounts due and payment terms, which generally do not exceed 90 days, are not impacted by suppliers’ participation in the program. As of December 27, 2025 and June 28, 2025, $309.8 million and $272.8 million, respectively, was related to suppliers eligible to participate in the Company's SCF program and presented within Accounts payable on the Condensed Consolidated Balance Sheets.</w:t>
      </w:r>
    </w:p>
    <w:p>
      <w:pPr>
        <w:spacing w:after="0" w:line="185" w:lineRule="exact"/>
        <w:rPr>
          <w:sz w:val="20"/>
          <w:szCs w:val="20"/>
          <w:color w:val="auto"/>
        </w:rPr>
      </w:pPr>
    </w:p>
    <w:p>
      <w:pPr>
        <w:ind w:left="340" w:right="7080" w:hanging="251"/>
        <w:spacing w:after="0" w:line="400" w:lineRule="auto"/>
        <w:tabs>
          <w:tab w:leader="none" w:pos="277"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RECENT ACCOUNTING PRONOUNCEMENTS </w:t>
      </w:r>
      <w:r>
        <w:rPr>
          <w:rFonts w:ascii="Times New Roman" w:cs="Times New Roman" w:eastAsia="Times New Roman" w:hAnsi="Times New Roman"/>
          <w:sz w:val="17"/>
          <w:szCs w:val="17"/>
          <w:b w:val="1"/>
          <w:bCs w:val="1"/>
          <w:i w:val="1"/>
          <w:iCs w:val="1"/>
          <w:color w:val="auto"/>
        </w:rPr>
        <w:t>Recently Issued Accounting Pronouncements</w:t>
      </w: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2025, the FASB issued ASU No. 2025-09, "Derivatives and Hedging (Topic 815): Hedge Accounting Improvements," which includes amendments intended to more closely align hedge accounting with the economics of an entity's risk management activities. The amendments will be effective for the Company's annual reporting periods beginning in fiscal year 2028 and for interim periods within fiscal year 2028. Early adoption is permitted and the amendments should be applied prospectively. The Company is currently evaluating the ASU to determine its impact on its condensed consolidated financial statements and notes thereto.</w:t>
      </w:r>
    </w:p>
    <w:p>
      <w:pPr>
        <w:spacing w:after="0" w:line="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 - Goodwill and Other - Internal-Use Software (Subtopic 350-40): Targeted Improvements to the Accounting for Internal-Use Software", which modernizes the accounting for the costs of software developed for internal use and clarifies related disclosure requirements. The amendments remove all references to software development stages, requiring companies to start capitalizing software costs when (i) management has authorized and committed to funding the software project and (ii) it is probable that the project will be completed and the software will be used to perform the function intended. The amendments will be effective for the Company's annual reporting periods beginning in fiscal year 2029 and for interim periods within fiscal year 2029. Early adoption is permitted. The amendments may be applied either prospectively or retrospectively. The Company is currently evaluating the ASU to determine its impact on its condensed consolidated financial statements and notes thereto.</w:t>
      </w:r>
    </w:p>
    <w:p>
      <w:pPr>
        <w:spacing w:after="0" w:line="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Disaggregation of Income Statement Expenses", which is intended to improve the disclosures about expenses and address requests from investors for more detailed information about the types of costs and expenses included in certain expense captions presented on the income statement. The amendments will be effective for the Company's annual reporting periods beginning in fiscal year 2028 and for interim periods beginning in fiscal year 2029, with early adoption permitted. The amendments may be applied retrospectively to all prior periods presented in the financial statements or prospectively upon adoption. The Company is currently evaluating the ASU to determine its impact on the Company's disclosures.</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includes amendments that further enhance income tax disclosures, primarily through standardization and disaggregation of rate reconciliation categories and income taxes paid by jurisdiction. The amendments are effective for the Company's annual periods beginning in fiscal year 2026, with early adoption permitted, and should be applied either prospectively or retrospectively. The Company is currently evaluating the ASU to determine its impact on the Company's disclosures.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4. REVENUE</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recognizes revenue primarily from sales of the products of its brands through our Direct-to-consumer ("DTC") business, which includes our retail stores and e-commerce sites, along with our wholesale business. The Company also generates revenue from royalties related to licensing its trademarks, as well as sales in ancillary business channels. In all cases, revenue is recognized upon the transfer of control of the promised products or services to the customer, which may be at a point in time or over time. Control is transferred when the customer obtains the ability to direct the use of and obtain substantially all of the remaining benefits from the products or services. The amount of revenue recognized is the amount of consideration to which the Company expects to be entitled, including estimation of sale terms that may create variability in the consideration. Revenue subject to variability is constrained to an amount which will not result in a significant reversal in future periods when the contingency that creates variability is resolved.</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elected a practical expedient not to disclose the remaining performance obligations that are unsatisfied as of the end of the period related to contracts with an original duration of one year or less or variable consideration related to sales-based royalty arrangements. There are no other contracts with transaction price allocated to remaining performance obligations other than future minimum royalties as discussed above, which are not material.</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practical expedients elected by the Company include (i) assuming no significant financing component exists for any contract with a duration of one year or less, (ii) accounting for shipping and handling as a fulfillment activity within SG&amp;A expense regardless of the timing of the shipment in relation to the transfer of control and (iii) excluding sales and value added tax from the transaction price.</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Direct-to-Consumer</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revenue in its retail stores, including concession shop-in-shops, at the point-of-sale when the customer obtains physical possession of the products. Digital revenue from sales of products ordered through the Company's e-commerce sites is recognized upon delivery and receipt of the shipment by its customers and includes shipping and handling charges paid by customers. Retail and digital revenues are recorded net of estimated returns, which are estimated by developing an expected value based on historical experience. Payment is due at the point of sale.</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Gift cards issued by the Company are recorded as a liability until redeemed by the customer, at which point revenue is recognized. The Company also uses historical information to estimate the amount of gift card balances that will never be redeemed and recognizes that amount as revenue over time in proportion to actual customer redemptions if the Company does not have a legal obligation to remit unredeemed gift cards to any jurisdiction as unclaimed property.</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of the Company's retail operations use sales incentive programs, such as customer loyalty programs and the issuance of coupons. Loyalty programs provide the customer a material right to acquire additional products and give rise to the Company having a separate performance obligation. Additionally, certain products sold by the Company include an assurance warranty that is not considered a separate performance obligation. These programs are immaterial individually and in the aggregate.</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Wholesale</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recognizes revenue within the wholesale channel at the time title passes and risk of loss is transferred to customers, which is generally at the point of shipment of products but may occur upon receipt of the shipment by the customer in certain cases. Payment is generally due 30 to 90 days after shipment. Wholesale revenue is recorded net of estimates for returns, discounts, end-of-season markdowns, cooperative advertising allowances and other consideration provided to the customer. Discounts are based on contract terms with the customer, while cooperative advertising allowances and other consideration may be based on contract terms or negotiated on a case-by-case basis. Returns and markdowns generally require approval from the Company and are estimated based on historical trends, current season results and inventory positions at the wholesale locations, current market and economic conditions as well as, in select cases, contractual terms. The Company's historical estimates of these variable amounts have not differed materially from actual results.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Licensing</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recognizes licensing revenue over time during the contract period in which licensees are granted access to the Company's trademarks. These arrangements require licensees to pay a sales-based royalty and may include a contractually guaranteed minimum royalty amount. Revenue for contractually guaranteed minimum royalty amounts is recognized ratably over the license year and any excess sales-based royalties are recognized as earned once the minimum royalty threshold is achieved. Payments from the customer are generally due quarterly in an amount based on the licensee's sales of goods bearing the licensed trademarks during the period, which may differ from the amount of revenue recorded during the period thereby generating a contract asset or liability. Contract assets and liabilities and contract costs related to the licensing arrangements are immaterial as the licensing business represents approximately 1% of total net sales in the six months ended December 27, 2025.</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Disaggregated Net Sales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disaggregates the Company's net sales into geographies that depict how economic factors may impact the revenues and cash flows for the periods presented. Each geography presented includes net sales related to the Company's directly operated channels, global travel retail business and to wholesale customers, including distributors, in locations within the specified geographic area.</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4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Greater China</w:t>
            </w:r>
            <w:r>
              <w:rPr>
                <w:rFonts w:ascii="Times New Roman" w:cs="Times New Roman" w:eastAsia="Times New Roman" w:hAnsi="Times New Roman"/>
                <w:sz w:val="23"/>
                <w:szCs w:val="23"/>
                <w:b w:val="1"/>
                <w:bCs w:val="1"/>
                <w:color w:val="auto"/>
                <w:vertAlign w:val="superscript"/>
              </w:rPr>
              <w:t>(1)</w:t>
            </w: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Other Asia</w:t>
            </w:r>
            <w:r>
              <w:rPr>
                <w:rFonts w:ascii="Times New Roman" w:cs="Times New Roman" w:eastAsia="Times New Roman" w:hAnsi="Times New Roman"/>
                <w:sz w:val="23"/>
                <w:szCs w:val="23"/>
                <w:b w:val="1"/>
                <w:bCs w:val="1"/>
                <w:color w:val="auto"/>
                <w:w w:val="95"/>
                <w:vertAlign w:val="superscript"/>
              </w:rPr>
              <w:t>(2)</w:t>
            </w: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3"/>
                <w:szCs w:val="23"/>
                <w:b w:val="1"/>
                <w:bCs w:val="1"/>
                <w:color w:val="auto"/>
                <w:vertAlign w:val="superscript"/>
              </w:rPr>
              <w:t>(3)</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0"/>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6"/>
        </w:trPr>
        <w:tc>
          <w:tcPr>
            <w:tcW w:w="20" w:type="dxa"/>
            <w:vAlign w:val="bottom"/>
            <w:shd w:val="clear" w:color="auto" w:fill="CCEEFF"/>
          </w:tcPr>
          <w:p>
            <w:pPr>
              <w:spacing w:after="0"/>
              <w:rPr>
                <w:sz w:val="18"/>
                <w:szCs w:val="18"/>
                <w:color w:val="auto"/>
              </w:rPr>
            </w:pPr>
          </w:p>
        </w:tc>
        <w:tc>
          <w:tcPr>
            <w:tcW w:w="4160" w:type="dxa"/>
            <w:vAlign w:val="bottom"/>
            <w:gridSpan w:val="6"/>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Three Months Ended December 27, 2025</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314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Coach</w:t>
            </w:r>
          </w:p>
        </w:tc>
        <w:tc>
          <w:tcPr>
            <w:tcW w:w="10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1,425.4</w:t>
            </w:r>
          </w:p>
        </w:tc>
        <w:tc>
          <w:tcPr>
            <w:tcW w:w="12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333.1</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221.5</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162.4</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2,142.4</w:t>
            </w: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360.0</w:t>
            </w:r>
          </w:p>
        </w:tc>
      </w:tr>
      <w:tr>
        <w:trPr>
          <w:trHeight w:val="230"/>
        </w:trPr>
        <w:tc>
          <w:tcPr>
            <w:tcW w:w="20" w:type="dxa"/>
            <w:vAlign w:val="bottom"/>
          </w:tcPr>
          <w:p>
            <w:pPr>
              <w:spacing w:after="0"/>
              <w:rPr>
                <w:sz w:val="19"/>
                <w:szCs w:val="19"/>
                <w:color w:val="auto"/>
              </w:rPr>
            </w:pPr>
          </w:p>
        </w:tc>
        <w:tc>
          <w:tcPr>
            <w:tcW w:w="41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4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160" w:type="dxa"/>
            <w:vAlign w:val="bottom"/>
            <w:tcBorders>
              <w:top w:val="single" w:sz="8" w:color="CCEEFF"/>
              <w:bottom w:val="single" w:sz="8" w:color="CCEEFF"/>
            </w:tcBorders>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2,502.4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9"/>
        </w:trPr>
        <w:tc>
          <w:tcPr>
            <w:tcW w:w="20" w:type="dxa"/>
            <w:vAlign w:val="bottom"/>
            <w:shd w:val="clear" w:color="auto" w:fill="CCEEFF"/>
          </w:tcPr>
          <w:p>
            <w:pPr>
              <w:spacing w:after="0"/>
              <w:rPr>
                <w:sz w:val="18"/>
                <w:szCs w:val="18"/>
                <w:color w:val="auto"/>
              </w:rPr>
            </w:pPr>
          </w:p>
        </w:tc>
        <w:tc>
          <w:tcPr>
            <w:tcW w:w="416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Three Months Ended December 28, 2024</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9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Coach</w:t>
            </w:r>
          </w:p>
        </w:tc>
        <w:tc>
          <w:tcPr>
            <w:tcW w:w="1180" w:type="dxa"/>
            <w:vAlign w:val="bottom"/>
            <w:tcBorders>
              <w:top w:val="single" w:sz="8" w:color="CCEEFF"/>
            </w:tcBorders>
            <w:gridSpan w:val="2"/>
          </w:tcPr>
          <w:p>
            <w:pPr>
              <w:spacing w:after="0"/>
              <w:rPr>
                <w:sz w:val="19"/>
                <w:szCs w:val="19"/>
                <w:color w:val="auto"/>
              </w:rPr>
            </w:pPr>
          </w:p>
        </w:tc>
        <w:tc>
          <w:tcPr>
            <w:tcW w:w="400" w:type="dxa"/>
            <w:vAlign w:val="bottom"/>
            <w:tcBorders>
              <w:top w:val="single" w:sz="8" w:color="CCEEFF"/>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1,124.9</w:t>
            </w:r>
          </w:p>
        </w:tc>
        <w:tc>
          <w:tcPr>
            <w:tcW w:w="12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1,709.3</w:t>
            </w: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Kate Spade</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w:t>
            </w:r>
          </w:p>
        </w:tc>
      </w:tr>
      <w:tr>
        <w:trPr>
          <w:trHeight w:val="230"/>
        </w:trPr>
        <w:tc>
          <w:tcPr>
            <w:tcW w:w="20" w:type="dxa"/>
            <w:vAlign w:val="bottom"/>
            <w:tcBorders>
              <w:bottom w:val="single" w:sz="8" w:color="CCEEFF"/>
            </w:tcBorders>
          </w:tcPr>
          <w:p>
            <w:pPr>
              <w:spacing w:after="0"/>
              <w:rPr>
                <w:sz w:val="19"/>
                <w:szCs w:val="19"/>
                <w:color w:val="auto"/>
              </w:rPr>
            </w:pPr>
          </w:p>
        </w:tc>
        <w:tc>
          <w:tcPr>
            <w:tcW w:w="416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8"/>
                <w:szCs w:val="18"/>
                <w:color w:val="auto"/>
              </w:rPr>
              <w:t>Stuart Weitzman</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20" w:type="dxa"/>
            <w:vAlign w:val="bottom"/>
            <w:shd w:val="clear" w:color="auto" w:fill="CCEEFF"/>
          </w:tcPr>
          <w:p>
            <w:pPr>
              <w:spacing w:after="0"/>
              <w:rPr>
                <w:sz w:val="18"/>
                <w:szCs w:val="18"/>
                <w:color w:val="auto"/>
              </w:rPr>
            </w:pPr>
          </w:p>
        </w:tc>
        <w:tc>
          <w:tcPr>
            <w:tcW w:w="416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Six Months Ended December 27, 2025</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9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Coach</w:t>
            </w:r>
          </w:p>
        </w:tc>
        <w:tc>
          <w:tcPr>
            <w:tcW w:w="1240" w:type="dxa"/>
            <w:vAlign w:val="bottom"/>
            <w:tcBorders>
              <w:top w:val="single" w:sz="8" w:color="CCEEFF"/>
            </w:tcBorders>
            <w:gridSpan w:val="3"/>
          </w:tcPr>
          <w:p>
            <w:pPr>
              <w:spacing w:after="0"/>
              <w:rPr>
                <w:sz w:val="19"/>
                <w:szCs w:val="19"/>
                <w:color w:val="auto"/>
              </w:rPr>
            </w:pPr>
          </w:p>
        </w:tc>
        <w:tc>
          <w:tcPr>
            <w:tcW w:w="400" w:type="dxa"/>
            <w:vAlign w:val="bottom"/>
            <w:tcBorders>
              <w:top w:val="single" w:sz="8" w:color="CCEEFF"/>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2,294.5</w:t>
            </w:r>
          </w:p>
        </w:tc>
        <w:tc>
          <w:tcPr>
            <w:tcW w:w="12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592.8</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394.1</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290.8</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3,572.2</w:t>
            </w: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620.2</w:t>
            </w:r>
          </w:p>
        </w:tc>
      </w:tr>
      <w:tr>
        <w:trPr>
          <w:trHeight w:val="230"/>
        </w:trPr>
        <w:tc>
          <w:tcPr>
            <w:tcW w:w="20" w:type="dxa"/>
            <w:vAlign w:val="bottom"/>
          </w:tcPr>
          <w:p>
            <w:pPr>
              <w:spacing w:after="0"/>
              <w:rPr>
                <w:sz w:val="19"/>
                <w:szCs w:val="19"/>
                <w:color w:val="auto"/>
              </w:rPr>
            </w:pPr>
          </w:p>
        </w:tc>
        <w:tc>
          <w:tcPr>
            <w:tcW w:w="41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160" w:type="dxa"/>
            <w:vAlign w:val="bottom"/>
            <w:tcBorders>
              <w:top w:val="single" w:sz="8" w:color="CCEEFF"/>
              <w:bottom w:val="single" w:sz="8" w:color="CCEEFF"/>
            </w:tcBorders>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4,207.0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20" w:type="dxa"/>
            <w:vAlign w:val="bottom"/>
            <w:shd w:val="clear" w:color="auto" w:fill="CCEEFF"/>
          </w:tcPr>
          <w:p>
            <w:pPr>
              <w:spacing w:after="0"/>
              <w:rPr>
                <w:sz w:val="18"/>
                <w:szCs w:val="18"/>
                <w:color w:val="auto"/>
              </w:rPr>
            </w:pPr>
          </w:p>
        </w:tc>
        <w:tc>
          <w:tcPr>
            <w:tcW w:w="416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Six Months Ended December 28, 2024</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8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Coach</w:t>
            </w:r>
          </w:p>
        </w:tc>
        <w:tc>
          <w:tcPr>
            <w:tcW w:w="1360" w:type="dxa"/>
            <w:vAlign w:val="bottom"/>
            <w:tcBorders>
              <w:top w:val="single" w:sz="8" w:color="CCEEFF"/>
            </w:tcBorders>
            <w:gridSpan w:val="4"/>
          </w:tcPr>
          <w:p>
            <w:pPr>
              <w:spacing w:after="0"/>
              <w:rPr>
                <w:sz w:val="19"/>
                <w:szCs w:val="19"/>
                <w:color w:val="auto"/>
              </w:rPr>
            </w:pPr>
          </w:p>
        </w:tc>
        <w:tc>
          <w:tcPr>
            <w:tcW w:w="400" w:type="dxa"/>
            <w:vAlign w:val="bottom"/>
            <w:tcBorders>
              <w:top w:val="single" w:sz="8" w:color="CCEEFF"/>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1,813.9</w:t>
            </w:r>
          </w:p>
        </w:tc>
        <w:tc>
          <w:tcPr>
            <w:tcW w:w="12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2,879.9</w:t>
            </w: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Kate Spade</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w:t>
            </w:r>
          </w:p>
        </w:tc>
      </w:tr>
      <w:tr>
        <w:trPr>
          <w:trHeight w:val="229"/>
        </w:trPr>
        <w:tc>
          <w:tcPr>
            <w:tcW w:w="20" w:type="dxa"/>
            <w:vAlign w:val="bottom"/>
            <w:tcBorders>
              <w:bottom w:val="single" w:sz="8" w:color="CCEEFF"/>
            </w:tcBorders>
          </w:tcPr>
          <w:p>
            <w:pPr>
              <w:spacing w:after="0"/>
              <w:rPr>
                <w:sz w:val="19"/>
                <w:szCs w:val="19"/>
                <w:color w:val="auto"/>
              </w:rPr>
            </w:pPr>
          </w:p>
        </w:tc>
        <w:tc>
          <w:tcPr>
            <w:tcW w:w="416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8"/>
                <w:szCs w:val="18"/>
                <w:color w:val="auto"/>
              </w:rPr>
              <w:t>Stuart Weitzman</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bl>
    <w:p>
      <w:pPr>
        <w:spacing w:after="0" w:line="141"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Greater China includes mainland China, Taiwan, Hong Kong SAR and Macao SAR.</w:t>
      </w:r>
    </w:p>
    <w:p>
      <w:pPr>
        <w:spacing w:after="0" w:line="82" w:lineRule="exact"/>
        <w:rPr>
          <w:rFonts w:ascii="Times New Roman" w:cs="Times New Roman" w:eastAsia="Times New Roman" w:hAnsi="Times New Roman"/>
          <w:sz w:val="23"/>
          <w:szCs w:val="23"/>
          <w:color w:val="auto"/>
          <w:vertAlign w:val="superscript"/>
        </w:rPr>
      </w:pPr>
    </w:p>
    <w:p>
      <w:pPr>
        <w:ind w:left="320" w:hanging="312"/>
        <w:spacing w:after="0" w:line="219" w:lineRule="auto"/>
        <w:tabs>
          <w:tab w:leader="none" w:pos="3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Asia includes Japan, Australia, Malaysia, South Korea, Singapore, and other countries primarily within Asia.</w:t>
      </w:r>
    </w:p>
    <w:p>
      <w:pPr>
        <w:spacing w:after="0" w:line="82" w:lineRule="exact"/>
        <w:rPr>
          <w:rFonts w:ascii="Times New Roman" w:cs="Times New Roman" w:eastAsia="Times New Roman" w:hAnsi="Times New Roman"/>
          <w:sz w:val="23"/>
          <w:szCs w:val="23"/>
          <w:color w:val="auto"/>
          <w:vertAlign w:val="superscript"/>
        </w:rPr>
      </w:pPr>
    </w:p>
    <w:p>
      <w:pPr>
        <w:ind w:left="320" w:hanging="312"/>
        <w:spacing w:after="0" w:line="219" w:lineRule="auto"/>
        <w:tabs>
          <w:tab w:leader="none" w:pos="3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sales primarily represents sales in Europe and the Middle East as well as royalties earned from the Company's licensing partners.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Deferred revenue results from cash payments received or receivable from customers prior to the transfer of the promised goods or services, and is generally comprised of unredeemed gift cards, net of breakage which has been recognized. Additional deferred revenue may result from sales-based royalty payments received or receivable which exceed the revenue recognized during the contractual period. The balance of such amounts as of December 27, 2025 and June 28, 2025 was $48.6 million and $38.0 million, respectively, which were primarily recorded within Accrued liabilities on the Company's Condensed Consolidated Balance Sheets and are generally expected to be recognized as revenue within a year. For the six months ended December 27, 2025, net sales of $5.7 million were recognized from amounts recorded as deferred revenue as of June 28, 2025. For the six months ended December 28, 2024, net sales of $16.3 million were recognized from amounts recorded as deferred revenue as of June 29, 2024.</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5. ACQUISITIONS AND DIVESTITURES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Stuart Weitzman Business Divestiture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16, 2025, the Company entered into a sale and purchase agreement (the “Purchase Agreement”) with Caleres, Inc. (the “Purchaser”) to sell the Stuart Weitzman Business (as defined below). The sale was completed on August 4, 2025 (the "Stuart Weitzman Business Divestiture"). The Purchaser acquired certain assets and liabilities of the Company's global business of designing, manufacturing, promotion, marketing, production, distribution, sales and licensing of Stuart Weitzman branded products (the "Stuart Weitzman Business") for total cash consideration of $105.0 million (the "Purchase Price"). The Purchase Price is subject to customary adjustments for cash, indebtedness, net working capital and transaction expenses.</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June 28, 2025, the Company classified certain assets and liabilities related to the Company's Stuart Weitzman Business as held for sale. The Stuart Weitzman Business Divestiture did not represent a strategic shift that will have a major effect on the Company's operations and financial results and therefore did not qualify for presentation as a discontinued operation. The Stuart Weitzman Business Divestiture resulted in a total pre-tax loss of $22.6 million, which represented the amount of the carrying value of the net assets over the amount of consideration received, less costs to sell. Of the final total pre-tax loss, $4.0 million was recorded during the six months ended December 27, 2025 and $18.6 million was recorded during the fiscal year ended June 28, 2025.</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three months ended December 27, 2025, the Company recognized total pre-tax income of $0.8 million related to the Stuart Weitzman Business Divestiture primarily due to income from the Transition Services Agreement with the Purchaser ("TSA"), partially offset by professional fees. During the six months ended December 27, 2025, the Company incurred total pre-tax charges of $13.9 million primarily due to professional fees and severance costs, partially offset by income from the TSA. These items were recorded in SG&amp;A expenses mainly within the Corporate segment on the Company's Condensed Consolidated Statements of Operations.</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Capri Holdings Limited Acquisition</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August 10, 2023, the Company entered into an Agreement and Plan of Merger (the "Merger Agreement") by and among the Company, Sunrise Merger Sub, Inc., a direct wholly owned subsidiary of Tapestry ("Merger Sub"), and Capri Holdings Limited ("Capri" and, together with us and Merger Sub, the "Parties"), pursuant to which, among other things, Merger Sub would merge with and into Capri (the "Merger") with Capri surviving the Merger and continuing as a wholly owned subsidiary of the Company ("the Capri Acquisition"). On April 22, 2024, the FTC filed a complaint against the Company and Capri in the United States District Court for the Southern District of New York seeking to enjoin the consummation of the Capri Acquisition, and on October 24, 2024, the Court issued its Opinion and Order granting the FTC's request for a preliminary injunction of the Merger, pending an administrative trial on the merits which was scheduled to begin on December 9, 2024. On November 13, 2024, the Parties entered into a Termination Agreement (the “Termination Agreement”), pursuant to which the Parties agreed to terminate the Merger Agreement, including all schedules and exhibits thereto and all ancillary agreements contemplated thereby or entered pursuant thereto, effective immediately. Pursuant to the Termination Agreement, the Company agreed to reimburse Capri for its expenses in an amount equal to $45.1 million in cash on November 14, 2024.</w:t>
      </w:r>
    </w:p>
    <w:p>
      <w:pPr>
        <w:spacing w:after="0" w:line="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order to finance the Capri Acquisition, on November 27, 2023, the Company issued $4.50 billion of senior unsecured notes and €1.50 billion of Euro-denominated senior unsecured notes (the "Capri Acquisition Senior Notes") which, together with the $1.40 billion of delayed draw unsecured term loan facilities (the "Capri Acquisition Term Loan Facilities") executed on August 30, 2023, completed the expected financing for the Capri Acquisition. On November 25, 2024, due to the termination of the Merger Agreement and pursuant to the terms of the indenture governing the Capri Acquisition Senior Notes, as supplemented, the Company redeemed all outstanding Capri Acquisition Senior Notes at a redemption price of 101% of the aggregate principal amount, plus accrued and unpaid interest to, but excluding, the date of redemption (such redemption, the “Special Mandatory Redemption”). In addition, the Capri Acquisition Term Loan Facilities were terminated concurrently with the execution of the Termination Agreement on November 13, 2024. Refer to Note 11, "Debt," for further information on our debt instruments related to the Capri Acquisition.</w:t>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expenses incurred during the three and six months ended December 27, 2025 in conjunction with the Capri Acquisition.</w:t>
      </w:r>
    </w:p>
    <w:p>
      <w:pPr>
        <w:spacing w:after="0" w:line="1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conjunction with the Capri Acquisition, during the three months ended December 28, 2024, the Company incurred $197.6 million in pre-tax expenses primarily related to Loss on extinguishment of debt as a result of the redemption of the Capri Acquisition Senior Notes, expense reimbursement payment made to Capri, financing-related expenses and professional fees. During the six months ended December 28, 2024, the Company incurred $268.4 million in pre-tax expenses primarily related to Loss on extinguishment of debt as a result of the redemption of the Capri Acquisition Senior Notes, financing-related expenses, expense reimbursement payment made to Capri and professional fees.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40" w:right="6980" w:hanging="332"/>
        <w:spacing w:after="0" w:line="378" w:lineRule="auto"/>
        <w:tabs>
          <w:tab w:leader="none" w:pos="196"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OTHER INTANGIBLE ASSETS </w:t>
      </w:r>
      <w:r>
        <w:rPr>
          <w:rFonts w:ascii="Times New Roman" w:cs="Times New Roman" w:eastAsia="Times New Roman" w:hAnsi="Times New Roman"/>
          <w:sz w:val="18"/>
          <w:szCs w:val="18"/>
          <w:b w:val="1"/>
          <w:bCs w:val="1"/>
          <w:i w:val="1"/>
          <w:iCs w:val="1"/>
          <w:color w:val="auto"/>
        </w:rPr>
        <w:t>Goodwill</w:t>
      </w: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change in the carrying amount of the Company’s goodwill by segment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2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Coach</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5"/>
              </w:rPr>
              <w:t>Kate Spade</w:t>
            </w:r>
            <w:r>
              <w:rPr>
                <w:rFonts w:ascii="Times New Roman" w:cs="Times New Roman" w:eastAsia="Times New Roman" w:hAnsi="Times New Roman"/>
                <w:sz w:val="23"/>
                <w:szCs w:val="23"/>
                <w:b w:val="1"/>
                <w:bCs w:val="1"/>
                <w:color w:val="auto"/>
                <w:w w:val="95"/>
                <w:vertAlign w:val="superscript"/>
              </w:rPr>
              <w:t>(1)</w:t>
            </w: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0"/>
        </w:trPr>
        <w:tc>
          <w:tcPr>
            <w:tcW w:w="22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6"/>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28, 2025</w:t>
            </w: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597.5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983.3</w:t>
            </w:r>
          </w:p>
        </w:tc>
      </w:tr>
      <w:tr>
        <w:trPr>
          <w:trHeight w:val="230"/>
        </w:trPr>
        <w:tc>
          <w:tcPr>
            <w:tcW w:w="57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Foreign exchange impact</w:t>
            </w:r>
          </w:p>
        </w:tc>
        <w:tc>
          <w:tcPr>
            <w:tcW w:w="1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(14.6)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(16.6)</w:t>
            </w:r>
          </w:p>
        </w:tc>
      </w:tr>
      <w:tr>
        <w:trPr>
          <w:trHeight w:val="248"/>
        </w:trPr>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27, 2025</w:t>
            </w: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582.9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966.7</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220" w:type="dxa"/>
            <w:vAlign w:val="bottom"/>
            <w:tcBorders>
              <w:bottom w:val="single" w:sz="8" w:color="auto"/>
            </w:tcBorders>
          </w:tcPr>
          <w:p>
            <w:pPr>
              <w:spacing w:after="0"/>
              <w:rPr>
                <w:sz w:val="13"/>
                <w:szCs w:val="13"/>
                <w:color w:val="auto"/>
              </w:rPr>
            </w:pPr>
          </w:p>
        </w:tc>
        <w:tc>
          <w:tcPr>
            <w:tcW w:w="35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r>
    </w:tbl>
    <w:p>
      <w:pPr>
        <w:spacing w:after="0" w:line="141" w:lineRule="exact"/>
        <w:rPr>
          <w:sz w:val="20"/>
          <w:szCs w:val="20"/>
          <w:color w:val="auto"/>
        </w:rPr>
      </w:pPr>
    </w:p>
    <w:p>
      <w:pPr>
        <w:ind w:left="280" w:hanging="272"/>
        <w:spacing w:after="0"/>
        <w:tabs>
          <w:tab w:leader="none" w:pos="28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 is net of accumulated impairment charges of $244.1 million as of December 27, 2025 and June 28, 2025.</w:t>
      </w:r>
    </w:p>
    <w:p>
      <w:pPr>
        <w:spacing w:after="0" w:line="85" w:lineRule="exact"/>
        <w:rPr>
          <w:rFonts w:ascii="Times New Roman" w:cs="Times New Roman" w:eastAsia="Times New Roman" w:hAnsi="Times New Roman"/>
          <w:sz w:val="23"/>
          <w:szCs w:val="23"/>
          <w:color w:val="auto"/>
          <w:vertAlign w:val="superscript"/>
        </w:rPr>
      </w:pPr>
    </w:p>
    <w:p>
      <w:pPr>
        <w:ind w:left="3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rFonts w:ascii="Times New Roman" w:cs="Times New Roman" w:eastAsia="Times New Roman" w:hAnsi="Times New Roman"/>
          <w:sz w:val="23"/>
          <w:szCs w:val="23"/>
          <w:color w:val="auto"/>
          <w:vertAlign w:val="superscript"/>
        </w:rPr>
      </w:pPr>
    </w:p>
    <w:p>
      <w:pPr>
        <w:ind w:left="3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Intangible assets consist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27, 2025</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June 28, 2025</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2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5"/>
                <w:szCs w:val="15"/>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Accum.</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80"/>
              <w:spacing w:after="0" w:line="174" w:lineRule="exact"/>
              <w:rPr>
                <w:sz w:val="20"/>
                <w:szCs w:val="20"/>
                <w:color w:val="auto"/>
              </w:rPr>
            </w:pPr>
            <w:r>
              <w:rPr>
                <w:rFonts w:ascii="Times New Roman" w:cs="Times New Roman" w:eastAsia="Times New Roman" w:hAnsi="Times New Roman"/>
                <w:sz w:val="18"/>
                <w:szCs w:val="18"/>
                <w:color w:val="auto"/>
                <w:w w:val="99"/>
              </w:rPr>
              <w:t>Gross</w:t>
            </w:r>
          </w:p>
        </w:tc>
        <w:tc>
          <w:tcPr>
            <w:tcW w:w="180" w:type="dxa"/>
            <w:vAlign w:val="bottom"/>
          </w:tcPr>
          <w:p>
            <w:pPr>
              <w:spacing w:after="0"/>
              <w:rPr>
                <w:sz w:val="15"/>
                <w:szCs w:val="15"/>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9"/>
              </w:rPr>
              <w:t>Accum.</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Net</w:t>
            </w:r>
          </w:p>
        </w:tc>
        <w:tc>
          <w:tcPr>
            <w:tcW w:w="140" w:type="dxa"/>
            <w:vAlign w:val="bottom"/>
          </w:tcPr>
          <w:p>
            <w:pPr>
              <w:spacing w:after="0"/>
              <w:rPr>
                <w:sz w:val="16"/>
                <w:szCs w:val="16"/>
                <w:color w:val="auto"/>
              </w:rPr>
            </w:pPr>
          </w:p>
        </w:tc>
        <w:tc>
          <w:tcPr>
            <w:tcW w:w="980" w:type="dxa"/>
            <w:vAlign w:val="bottom"/>
            <w:gridSpan w:val="2"/>
          </w:tcPr>
          <w:p>
            <w:pPr>
              <w:jc w:val="center"/>
              <w:ind w:right="300"/>
              <w:spacing w:after="0" w:line="184" w:lineRule="exact"/>
              <w:rPr>
                <w:sz w:val="20"/>
                <w:szCs w:val="20"/>
                <w:color w:val="auto"/>
              </w:rPr>
            </w:pPr>
            <w:r>
              <w:rPr>
                <w:rFonts w:ascii="Times New Roman" w:cs="Times New Roman" w:eastAsia="Times New Roman" w:hAnsi="Times New Roman"/>
                <w:sz w:val="18"/>
                <w:szCs w:val="18"/>
                <w:color w:val="auto"/>
                <w:w w:val="99"/>
              </w:rPr>
              <w:t>Carrying</w:t>
            </w: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Net</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Amount</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Amort.</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2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3"/>
        </w:trPr>
        <w:tc>
          <w:tcPr>
            <w:tcW w:w="4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30"/>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Trademarks and trade names</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w:t>
            </w:r>
          </w:p>
        </w:tc>
        <w:tc>
          <w:tcPr>
            <w:tcW w:w="0" w:type="dxa"/>
            <w:vAlign w:val="bottom"/>
          </w:tcPr>
          <w:p>
            <w:pPr>
              <w:spacing w:after="0"/>
              <w:rPr>
                <w:sz w:val="1"/>
                <w:szCs w:val="1"/>
                <w:color w:val="auto"/>
              </w:rPr>
            </w:pPr>
          </w:p>
        </w:tc>
      </w:tr>
      <w:tr>
        <w:trPr>
          <w:trHeight w:val="223"/>
        </w:trPr>
        <w:tc>
          <w:tcPr>
            <w:tcW w:w="45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744.7</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718.0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220" w:type="dxa"/>
            <w:vAlign w:val="bottom"/>
            <w:tcBorders>
              <w:bottom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hanging="332"/>
        <w:spacing w:after="0" w:line="229" w:lineRule="auto"/>
        <w:tabs>
          <w:tab w:leader="none" w:pos="296"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 is net of accumulated impairment charges of $610.7 million as of December 27, 2025 and June 28, 2025 for Kate Spade indefinite-lived brand intangible asset.</w:t>
      </w:r>
    </w:p>
    <w:p>
      <w:pPr>
        <w:spacing w:after="0" w:line="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Amortization expense for the Company’s definite-lived intangible assets for the three and six months ended December 27, 2025 was $0.8 million and $1.6 million, respectively. Amortization expense for the Company’s definite-lived intangible assets for three and six months ended December 28, 2024 was $1.7 million and $3.3 million, respectively.</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27, 2025, the expected amortization expense for intangible assets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Amortization Expense</w:t>
            </w:r>
          </w:p>
        </w:tc>
      </w:tr>
      <w:tr>
        <w:trPr>
          <w:trHeight w:val="190"/>
        </w:trPr>
        <w:tc>
          <w:tcPr>
            <w:tcW w:w="8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00" w:type="dxa"/>
            <w:vAlign w:val="bottom"/>
          </w:tcPr>
          <w:p>
            <w:pPr>
              <w:jc w:val="right"/>
              <w:ind w:right="1032"/>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2026</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Fiscal 2031 and thereafter</w:t>
            </w:r>
          </w:p>
        </w:tc>
        <w:tc>
          <w:tcPr>
            <w:tcW w:w="3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expected amortization expense above reflects remaining useful life of approximately 6.5 years for customer relationships.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2026 Share Repurchase Program</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September 10, 2025, the Company announced that the Board authorized the Company to repurchase up to $3.00 billion of its outstanding common stock (the "2026 Share Repurchase Program"), replacing the 2022 Share Repurchase Program which had $561.7 million of remaining authorization.</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December 27, 2025, the Company repurchased $400.0 million of common stock. During the six months ended December 27, 2025, the Company repurchased $900.0 million of common stock, $238.3 million under the 2022 Share Repurchase Program and $661.7 million under the 2026 Share Repurchase Program. As of December 27, 2025, the Company had $2.34 billion of remaining repurchase authorization under the 2026 Share Repurchase Program.</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2025 Share Repurchase Program</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November 13, 2024, the Board authorized the Company to repurchase up to $2.00 billion of outstanding shares of its common stock (the "2025 Share Repurchase Program"). On November 21, 2024, the Company entered into accelerated share repurchase agreements (the “ASR Agreements”) with Bank of America, N.A. and Morgan Stanley &amp; Co. LLC (the “Dealers”) to repurchase an aggregate of up to $2.00 billion of the Company’s shares of common stock. Under the ASR Agreements, the Company paid $2.00 billion to the Dealers and received an initial delivery of 28,363,766 shares of the Company's common stock on November 26, 2024. Final settlement was based on the volume-weighted average price ("VWAP") of the Company's common stock, less a discount, and occurred in four tranches. During the year ended June 28, 2025 and the quarter ended September 27, 2025, as a result of the increase in the VWAP of the Company's common stock, the Company cash-settled $6.6 million related to 92,536 shares of common stock and $195.7 million related to 1,838,270 shares of common stock, respectively, which completed the agreement. The average share price for the 28,363,766 shares received under the ASR Agreements was $77.64.</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stockholders' equity is presented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00" w:type="dxa"/>
            <w:vAlign w:val="bottom"/>
          </w:tcPr>
          <w:p>
            <w:pPr>
              <w:spacing w:after="0"/>
              <w:rPr>
                <w:sz w:val="16"/>
                <w:szCs w:val="16"/>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Shares of</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5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Retained Earnings</w:t>
            </w: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60" w:type="dxa"/>
            <w:vAlign w:val="bottom"/>
          </w:tcPr>
          <w:p>
            <w:pPr>
              <w:spacing w:after="0"/>
              <w:rPr>
                <w:sz w:val="16"/>
                <w:szCs w:val="16"/>
                <w:color w:val="auto"/>
              </w:rPr>
            </w:pPr>
          </w:p>
        </w:tc>
        <w:tc>
          <w:tcPr>
            <w:tcW w:w="1240" w:type="dxa"/>
            <w:vAlign w:val="bottom"/>
            <w:vMerge w:val="restart"/>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174"/>
        </w:trPr>
        <w:tc>
          <w:tcPr>
            <w:tcW w:w="32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Common</w:t>
            </w: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52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center"/>
              <w:ind w:right="220"/>
              <w:spacing w:after="0" w:line="174" w:lineRule="exact"/>
              <w:rPr>
                <w:sz w:val="20"/>
                <w:szCs w:val="20"/>
                <w:color w:val="auto"/>
              </w:rPr>
            </w:pPr>
            <w:r>
              <w:rPr>
                <w:rFonts w:ascii="Times New Roman" w:cs="Times New Roman" w:eastAsia="Times New Roman" w:hAnsi="Times New Roman"/>
                <w:sz w:val="17"/>
                <w:szCs w:val="17"/>
                <w:b w:val="1"/>
                <w:bCs w:val="1"/>
                <w:color w:val="auto"/>
              </w:rPr>
              <w:t>Other</w:t>
            </w:r>
          </w:p>
        </w:tc>
        <w:tc>
          <w:tcPr>
            <w:tcW w:w="1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10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7"/>
                <w:szCs w:val="17"/>
                <w:b w:val="1"/>
                <w:bCs w:val="1"/>
                <w:color w:val="auto"/>
              </w:rPr>
              <w:t>Common</w:t>
            </w: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7"/>
                <w:szCs w:val="17"/>
                <w:b w:val="1"/>
                <w:bCs w:val="1"/>
                <w:color w:val="auto"/>
                <w:w w:val="98"/>
              </w:rPr>
              <w:t>Paid-in-</w:t>
            </w:r>
          </w:p>
        </w:tc>
        <w:tc>
          <w:tcPr>
            <w:tcW w:w="120" w:type="dxa"/>
            <w:vAlign w:val="bottom"/>
          </w:tcPr>
          <w:p>
            <w:pPr>
              <w:spacing w:after="0"/>
              <w:rPr>
                <w:sz w:val="15"/>
                <w:szCs w:val="15"/>
                <w:color w:val="auto"/>
              </w:rPr>
            </w:pPr>
          </w:p>
        </w:tc>
        <w:tc>
          <w:tcPr>
            <w:tcW w:w="1400" w:type="dxa"/>
            <w:vAlign w:val="bottom"/>
            <w:gridSpan w:val="3"/>
          </w:tcPr>
          <w:p>
            <w:pPr>
              <w:jc w:val="center"/>
              <w:ind w:right="240"/>
              <w:spacing w:after="0" w:line="176" w:lineRule="exact"/>
              <w:rPr>
                <w:sz w:val="20"/>
                <w:szCs w:val="20"/>
                <w:color w:val="auto"/>
              </w:rPr>
            </w:pPr>
            <w:r>
              <w:rPr>
                <w:rFonts w:ascii="Times New Roman" w:cs="Times New Roman" w:eastAsia="Times New Roman" w:hAnsi="Times New Roman"/>
                <w:sz w:val="17"/>
                <w:szCs w:val="17"/>
                <w:b w:val="1"/>
                <w:bCs w:val="1"/>
                <w:color w:val="auto"/>
              </w:rPr>
              <w:t>/ (Accumulated</w:t>
            </w:r>
          </w:p>
        </w:tc>
        <w:tc>
          <w:tcPr>
            <w:tcW w:w="140" w:type="dxa"/>
            <w:vAlign w:val="bottom"/>
          </w:tcPr>
          <w:p>
            <w:pPr>
              <w:spacing w:after="0"/>
              <w:rPr>
                <w:sz w:val="15"/>
                <w:szCs w:val="15"/>
                <w:color w:val="auto"/>
              </w:rPr>
            </w:pPr>
          </w:p>
        </w:tc>
        <w:tc>
          <w:tcPr>
            <w:tcW w:w="15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160" w:type="dxa"/>
            <w:vAlign w:val="bottom"/>
          </w:tcPr>
          <w:p>
            <w:pPr>
              <w:spacing w:after="0"/>
              <w:rPr>
                <w:sz w:val="15"/>
                <w:szCs w:val="15"/>
                <w:color w:val="auto"/>
              </w:rPr>
            </w:pPr>
          </w:p>
        </w:tc>
        <w:tc>
          <w:tcPr>
            <w:tcW w:w="1240" w:type="dxa"/>
            <w:vAlign w:val="bottom"/>
          </w:tcPr>
          <w:p>
            <w:pPr>
              <w:jc w:val="center"/>
              <w:ind w:right="75"/>
              <w:spacing w:after="0" w:line="176" w:lineRule="exact"/>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228"/>
        </w:trPr>
        <w:tc>
          <w:tcPr>
            <w:tcW w:w="3200" w:type="dxa"/>
            <w:vAlign w:val="bottom"/>
          </w:tcPr>
          <w:p>
            <w:pPr>
              <w:spacing w:after="0"/>
              <w:rPr>
                <w:sz w:val="19"/>
                <w:szCs w:val="19"/>
                <w:color w:val="auto"/>
              </w:rPr>
            </w:pPr>
          </w:p>
        </w:tc>
        <w:tc>
          <w:tcPr>
            <w:tcW w:w="10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Income (Loss)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June 29, 2024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3,762.7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(722.2)</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2,896.9</w:t>
            </w:r>
          </w:p>
        </w:tc>
        <w:tc>
          <w:tcPr>
            <w:tcW w:w="0" w:type="dxa"/>
            <w:vAlign w:val="bottom"/>
          </w:tcPr>
          <w:p>
            <w:pPr>
              <w:spacing w:after="0"/>
              <w:rPr>
                <w:sz w:val="1"/>
                <w:szCs w:val="1"/>
                <w:color w:val="auto"/>
              </w:rPr>
            </w:pPr>
          </w:p>
        </w:tc>
      </w:tr>
      <w:tr>
        <w:trPr>
          <w:trHeight w:val="226"/>
        </w:trPr>
        <w:tc>
          <w:tcPr>
            <w:tcW w:w="3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 (loss)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186.6</w:t>
            </w:r>
          </w:p>
        </w:tc>
        <w:tc>
          <w:tcPr>
            <w:tcW w:w="0" w:type="dxa"/>
            <w:vAlign w:val="bottom"/>
          </w:tcPr>
          <w:p>
            <w:pPr>
              <w:spacing w:after="0"/>
              <w:rPr>
                <w:sz w:val="1"/>
                <w:szCs w:val="1"/>
                <w:color w:val="auto"/>
              </w:rPr>
            </w:pPr>
          </w:p>
        </w:tc>
      </w:tr>
      <w:tr>
        <w:trPr>
          <w:trHeight w:val="233"/>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w:t>
            </w:r>
          </w:p>
        </w:tc>
        <w:tc>
          <w:tcPr>
            <w:tcW w:w="0" w:type="dxa"/>
            <w:vAlign w:val="bottom"/>
          </w:tcPr>
          <w:p>
            <w:pPr>
              <w:spacing w:after="0"/>
              <w:rPr>
                <w:sz w:val="1"/>
                <w:szCs w:val="1"/>
                <w:color w:val="auto"/>
              </w:rPr>
            </w:pPr>
          </w:p>
        </w:tc>
      </w:tr>
      <w:tr>
        <w:trPr>
          <w:trHeight w:val="167"/>
        </w:trPr>
        <w:tc>
          <w:tcPr>
            <w:tcW w:w="3200" w:type="dxa"/>
            <w:vAlign w:val="bottom"/>
          </w:tcPr>
          <w:p>
            <w:pPr>
              <w:ind w:left="220"/>
              <w:spacing w:after="0" w:line="167" w:lineRule="exact"/>
              <w:rPr>
                <w:sz w:val="20"/>
                <w:szCs w:val="20"/>
                <w:color w:val="auto"/>
              </w:rPr>
            </w:pPr>
            <w:r>
              <w:rPr>
                <w:rFonts w:ascii="Times New Roman" w:cs="Times New Roman" w:eastAsia="Times New Roman" w:hAnsi="Times New Roman"/>
                <w:sz w:val="17"/>
                <w:szCs w:val="17"/>
                <w:color w:val="auto"/>
              </w:rPr>
              <w:t>Shares issued, pursuant to share-based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00" w:type="dxa"/>
            <w:vAlign w:val="bottom"/>
          </w:tcPr>
          <w:p>
            <w:pPr>
              <w:ind w:left="220"/>
              <w:spacing w:after="0" w:line="171" w:lineRule="exact"/>
              <w:rPr>
                <w:sz w:val="20"/>
                <w:szCs w:val="20"/>
                <w:color w:val="auto"/>
              </w:rPr>
            </w:pPr>
            <w:r>
              <w:rPr>
                <w:rFonts w:ascii="Times New Roman" w:cs="Times New Roman" w:eastAsia="Times New Roman" w:hAnsi="Times New Roman"/>
                <w:sz w:val="17"/>
                <w:szCs w:val="17"/>
                <w:color w:val="auto"/>
              </w:rPr>
              <w:t>compensation arrangements, net of shares</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4"/>
                <w:szCs w:val="14"/>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226"/>
        </w:trPr>
        <w:tc>
          <w:tcPr>
            <w:tcW w:w="3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withheld for taxes</w:t>
            </w: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Share-based compensation</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0" w:type="dxa"/>
            <w:vAlign w:val="bottom"/>
          </w:tcPr>
          <w:p>
            <w:pPr>
              <w:spacing w:after="0"/>
              <w:rPr>
                <w:sz w:val="1"/>
                <w:szCs w:val="1"/>
                <w:color w:val="auto"/>
              </w:rPr>
            </w:pPr>
          </w:p>
        </w:tc>
      </w:tr>
      <w:tr>
        <w:trPr>
          <w:trHeight w:val="226"/>
        </w:trPr>
        <w:tc>
          <w:tcPr>
            <w:tcW w:w="3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Dividends declared ($0.35 per share)</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(81.4)</w:t>
            </w:r>
          </w:p>
        </w:tc>
        <w:tc>
          <w:tcPr>
            <w:tcW w:w="0" w:type="dxa"/>
            <w:vAlign w:val="bottom"/>
          </w:tcPr>
          <w:p>
            <w:pPr>
              <w:spacing w:after="0"/>
              <w:rPr>
                <w:sz w:val="1"/>
                <w:szCs w:val="1"/>
                <w:color w:val="auto"/>
              </w:rPr>
            </w:pPr>
          </w:p>
        </w:tc>
      </w:tr>
      <w:tr>
        <w:trPr>
          <w:trHeight w:val="252"/>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September 28, 2024</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2,981.9</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vMerge w:val="restart"/>
          </w:tcPr>
          <w:p>
            <w:pPr>
              <w:ind w:left="220"/>
              <w:spacing w:after="0"/>
              <w:rPr>
                <w:sz w:val="20"/>
                <w:szCs w:val="20"/>
                <w:color w:val="auto"/>
              </w:rPr>
            </w:pPr>
            <w:r>
              <w:rPr>
                <w:rFonts w:ascii="Times New Roman" w:cs="Times New Roman" w:eastAsia="Times New Roman" w:hAnsi="Times New Roman"/>
                <w:sz w:val="17"/>
                <w:szCs w:val="17"/>
                <w:color w:val="auto"/>
              </w:rPr>
              <w:t>Net income (loss)</w:t>
            </w:r>
          </w:p>
        </w:tc>
        <w:tc>
          <w:tcPr>
            <w:tcW w:w="10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200" w:type="dxa"/>
            <w:vAlign w:val="bottom"/>
            <w:tcBorders>
              <w:top w:val="single" w:sz="8" w:color="CCEEFF"/>
            </w:tcBorders>
            <w:vMerge w:val="continue"/>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310.4</w:t>
            </w: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310.4</w:t>
            </w:r>
          </w:p>
        </w:tc>
        <w:tc>
          <w:tcPr>
            <w:tcW w:w="0" w:type="dxa"/>
            <w:vAlign w:val="bottom"/>
          </w:tcPr>
          <w:p>
            <w:pPr>
              <w:spacing w:after="0"/>
              <w:rPr>
                <w:sz w:val="1"/>
                <w:szCs w:val="1"/>
                <w:color w:val="auto"/>
              </w:rPr>
            </w:pPr>
          </w:p>
        </w:tc>
      </w:tr>
      <w:tr>
        <w:trPr>
          <w:trHeight w:val="233"/>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0" w:type="dxa"/>
            <w:vAlign w:val="bottom"/>
          </w:tcPr>
          <w:p>
            <w:pPr>
              <w:spacing w:after="0"/>
              <w:rPr>
                <w:sz w:val="1"/>
                <w:szCs w:val="1"/>
                <w:color w:val="auto"/>
              </w:rPr>
            </w:pPr>
          </w:p>
        </w:tc>
      </w:tr>
      <w:tr>
        <w:trPr>
          <w:trHeight w:val="167"/>
        </w:trPr>
        <w:tc>
          <w:tcPr>
            <w:tcW w:w="3200" w:type="dxa"/>
            <w:vAlign w:val="bottom"/>
          </w:tcPr>
          <w:p>
            <w:pPr>
              <w:ind w:left="220"/>
              <w:spacing w:after="0" w:line="167" w:lineRule="exact"/>
              <w:rPr>
                <w:sz w:val="20"/>
                <w:szCs w:val="20"/>
                <w:color w:val="auto"/>
              </w:rPr>
            </w:pPr>
            <w:r>
              <w:rPr>
                <w:rFonts w:ascii="Times New Roman" w:cs="Times New Roman" w:eastAsia="Times New Roman" w:hAnsi="Times New Roman"/>
                <w:sz w:val="17"/>
                <w:szCs w:val="17"/>
                <w:color w:val="auto"/>
              </w:rPr>
              <w:t>Shares issued, pursuant to share-based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00" w:type="dxa"/>
            <w:vAlign w:val="bottom"/>
          </w:tcPr>
          <w:p>
            <w:pPr>
              <w:ind w:left="220"/>
              <w:spacing w:after="0" w:line="171" w:lineRule="exact"/>
              <w:rPr>
                <w:sz w:val="20"/>
                <w:szCs w:val="20"/>
                <w:color w:val="auto"/>
              </w:rPr>
            </w:pPr>
            <w:r>
              <w:rPr>
                <w:rFonts w:ascii="Times New Roman" w:cs="Times New Roman" w:eastAsia="Times New Roman" w:hAnsi="Times New Roman"/>
                <w:sz w:val="17"/>
                <w:szCs w:val="17"/>
                <w:color w:val="auto"/>
              </w:rPr>
              <w:t>compensation arrangements, net of shares</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4"/>
                <w:szCs w:val="14"/>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0" w:type="dxa"/>
            <w:vAlign w:val="bottom"/>
          </w:tcPr>
          <w:p>
            <w:pPr>
              <w:spacing w:after="0"/>
              <w:rPr>
                <w:sz w:val="1"/>
                <w:szCs w:val="1"/>
                <w:color w:val="auto"/>
              </w:rPr>
            </w:pPr>
          </w:p>
        </w:tc>
      </w:tr>
      <w:tr>
        <w:trPr>
          <w:trHeight w:val="226"/>
        </w:trPr>
        <w:tc>
          <w:tcPr>
            <w:tcW w:w="3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withheld for taxes</w:t>
            </w: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Share-based compensation</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0" w:type="dxa"/>
            <w:vAlign w:val="bottom"/>
          </w:tcPr>
          <w:p>
            <w:pPr>
              <w:spacing w:after="0"/>
              <w:rPr>
                <w:sz w:val="1"/>
                <w:szCs w:val="1"/>
                <w:color w:val="auto"/>
              </w:rPr>
            </w:pPr>
          </w:p>
        </w:tc>
      </w:tr>
      <w:tr>
        <w:trPr>
          <w:trHeight w:val="167"/>
        </w:trPr>
        <w:tc>
          <w:tcPr>
            <w:tcW w:w="3200" w:type="dxa"/>
            <w:vAlign w:val="bottom"/>
          </w:tcPr>
          <w:p>
            <w:pPr>
              <w:ind w:left="220"/>
              <w:spacing w:after="0" w:line="167" w:lineRule="exact"/>
              <w:rPr>
                <w:sz w:val="20"/>
                <w:szCs w:val="20"/>
                <w:color w:val="auto"/>
              </w:rPr>
            </w:pPr>
            <w:r>
              <w:rPr>
                <w:rFonts w:ascii="Times New Roman" w:cs="Times New Roman" w:eastAsia="Times New Roman" w:hAnsi="Times New Roman"/>
                <w:sz w:val="17"/>
                <w:szCs w:val="17"/>
                <w:color w:val="auto"/>
              </w:rPr>
              <w:t>Repurchase of common stock, including</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(1,612.8)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(2,013.0)</w:t>
            </w:r>
          </w:p>
        </w:tc>
        <w:tc>
          <w:tcPr>
            <w:tcW w:w="0" w:type="dxa"/>
            <w:vAlign w:val="bottom"/>
          </w:tcPr>
          <w:p>
            <w:pPr>
              <w:spacing w:after="0"/>
              <w:rPr>
                <w:sz w:val="1"/>
                <w:szCs w:val="1"/>
                <w:color w:val="auto"/>
              </w:rPr>
            </w:pPr>
          </w:p>
        </w:tc>
      </w:tr>
      <w:tr>
        <w:trPr>
          <w:trHeight w:val="223"/>
        </w:trPr>
        <w:tc>
          <w:tcPr>
            <w:tcW w:w="3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excise tax</w:t>
            </w: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Dividends declared ($0.35 per share)</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w:t>
            </w:r>
          </w:p>
        </w:tc>
        <w:tc>
          <w:tcPr>
            <w:tcW w:w="0" w:type="dxa"/>
            <w:vAlign w:val="bottom"/>
          </w:tcPr>
          <w:p>
            <w:pPr>
              <w:spacing w:after="0"/>
              <w:rPr>
                <w:sz w:val="1"/>
                <w:szCs w:val="1"/>
                <w:color w:val="auto"/>
              </w:rPr>
            </w:pPr>
          </w:p>
        </w:tc>
      </w:tr>
      <w:tr>
        <w:trPr>
          <w:trHeight w:val="227"/>
        </w:trPr>
        <w:tc>
          <w:tcPr>
            <w:tcW w:w="3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December 28, 2024</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206.9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3,482.8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(1,991.8)</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(156.6)</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1,336.5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00" w:type="dxa"/>
            <w:vAlign w:val="bottom"/>
          </w:tcPr>
          <w:p>
            <w:pPr>
              <w:spacing w:after="0"/>
              <w:rPr>
                <w:sz w:val="17"/>
                <w:szCs w:val="17"/>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Shares of</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5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Retained Earnings</w:t>
            </w:r>
          </w:p>
        </w:tc>
        <w:tc>
          <w:tcPr>
            <w:tcW w:w="14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60" w:type="dxa"/>
            <w:vAlign w:val="bottom"/>
          </w:tcPr>
          <w:p>
            <w:pPr>
              <w:spacing w:after="0"/>
              <w:rPr>
                <w:sz w:val="17"/>
                <w:szCs w:val="17"/>
                <w:color w:val="auto"/>
              </w:rPr>
            </w:pPr>
          </w:p>
        </w:tc>
        <w:tc>
          <w:tcPr>
            <w:tcW w:w="1240" w:type="dxa"/>
            <w:vAlign w:val="bottom"/>
            <w:vMerge w:val="restart"/>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174"/>
        </w:trPr>
        <w:tc>
          <w:tcPr>
            <w:tcW w:w="32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Common</w:t>
            </w: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52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center"/>
              <w:ind w:right="220"/>
              <w:spacing w:after="0" w:line="174" w:lineRule="exact"/>
              <w:rPr>
                <w:sz w:val="20"/>
                <w:szCs w:val="20"/>
                <w:color w:val="auto"/>
              </w:rPr>
            </w:pPr>
            <w:r>
              <w:rPr>
                <w:rFonts w:ascii="Times New Roman" w:cs="Times New Roman" w:eastAsia="Times New Roman" w:hAnsi="Times New Roman"/>
                <w:sz w:val="17"/>
                <w:szCs w:val="17"/>
                <w:b w:val="1"/>
                <w:bCs w:val="1"/>
                <w:color w:val="auto"/>
              </w:rPr>
              <w:t>Other</w:t>
            </w:r>
          </w:p>
        </w:tc>
        <w:tc>
          <w:tcPr>
            <w:tcW w:w="1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10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7"/>
                <w:szCs w:val="17"/>
                <w:b w:val="1"/>
                <w:bCs w:val="1"/>
                <w:color w:val="auto"/>
              </w:rPr>
              <w:t>Common</w:t>
            </w: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7"/>
                <w:szCs w:val="17"/>
                <w:b w:val="1"/>
                <w:bCs w:val="1"/>
                <w:color w:val="auto"/>
                <w:w w:val="98"/>
              </w:rPr>
              <w:t>Paid-in-</w:t>
            </w:r>
          </w:p>
        </w:tc>
        <w:tc>
          <w:tcPr>
            <w:tcW w:w="120" w:type="dxa"/>
            <w:vAlign w:val="bottom"/>
          </w:tcPr>
          <w:p>
            <w:pPr>
              <w:spacing w:after="0"/>
              <w:rPr>
                <w:sz w:val="15"/>
                <w:szCs w:val="15"/>
                <w:color w:val="auto"/>
              </w:rPr>
            </w:pPr>
          </w:p>
        </w:tc>
        <w:tc>
          <w:tcPr>
            <w:tcW w:w="1400" w:type="dxa"/>
            <w:vAlign w:val="bottom"/>
            <w:gridSpan w:val="3"/>
          </w:tcPr>
          <w:p>
            <w:pPr>
              <w:jc w:val="center"/>
              <w:ind w:right="240"/>
              <w:spacing w:after="0" w:line="176" w:lineRule="exact"/>
              <w:rPr>
                <w:sz w:val="20"/>
                <w:szCs w:val="20"/>
                <w:color w:val="auto"/>
              </w:rPr>
            </w:pPr>
            <w:r>
              <w:rPr>
                <w:rFonts w:ascii="Times New Roman" w:cs="Times New Roman" w:eastAsia="Times New Roman" w:hAnsi="Times New Roman"/>
                <w:sz w:val="17"/>
                <w:szCs w:val="17"/>
                <w:b w:val="1"/>
                <w:bCs w:val="1"/>
                <w:color w:val="auto"/>
              </w:rPr>
              <w:t>/ (Accumulated</w:t>
            </w:r>
          </w:p>
        </w:tc>
        <w:tc>
          <w:tcPr>
            <w:tcW w:w="140" w:type="dxa"/>
            <w:vAlign w:val="bottom"/>
          </w:tcPr>
          <w:p>
            <w:pPr>
              <w:spacing w:after="0"/>
              <w:rPr>
                <w:sz w:val="15"/>
                <w:szCs w:val="15"/>
                <w:color w:val="auto"/>
              </w:rPr>
            </w:pPr>
          </w:p>
        </w:tc>
        <w:tc>
          <w:tcPr>
            <w:tcW w:w="15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160" w:type="dxa"/>
            <w:vAlign w:val="bottom"/>
          </w:tcPr>
          <w:p>
            <w:pPr>
              <w:spacing w:after="0"/>
              <w:rPr>
                <w:sz w:val="15"/>
                <w:szCs w:val="15"/>
                <w:color w:val="auto"/>
              </w:rPr>
            </w:pPr>
          </w:p>
        </w:tc>
        <w:tc>
          <w:tcPr>
            <w:tcW w:w="1240" w:type="dxa"/>
            <w:vAlign w:val="bottom"/>
          </w:tcPr>
          <w:p>
            <w:pPr>
              <w:jc w:val="center"/>
              <w:ind w:right="75"/>
              <w:spacing w:after="0" w:line="176" w:lineRule="exact"/>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228"/>
        </w:trPr>
        <w:tc>
          <w:tcPr>
            <w:tcW w:w="3200" w:type="dxa"/>
            <w:vAlign w:val="bottom"/>
          </w:tcPr>
          <w:p>
            <w:pPr>
              <w:spacing w:after="0"/>
              <w:rPr>
                <w:sz w:val="19"/>
                <w:szCs w:val="19"/>
                <w:color w:val="auto"/>
              </w:rPr>
            </w:pPr>
          </w:p>
        </w:tc>
        <w:tc>
          <w:tcPr>
            <w:tcW w:w="10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Income (Loss)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June 28, 2025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208.1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3,673.7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(2,556.8)</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(261.2)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857.8</w:t>
            </w:r>
          </w:p>
        </w:tc>
        <w:tc>
          <w:tcPr>
            <w:tcW w:w="0" w:type="dxa"/>
            <w:vAlign w:val="bottom"/>
          </w:tcPr>
          <w:p>
            <w:pPr>
              <w:spacing w:after="0"/>
              <w:rPr>
                <w:sz w:val="1"/>
                <w:szCs w:val="1"/>
                <w:color w:val="auto"/>
              </w:rPr>
            </w:pPr>
          </w:p>
        </w:tc>
      </w:tr>
      <w:tr>
        <w:trPr>
          <w:trHeight w:val="228"/>
        </w:trPr>
        <w:tc>
          <w:tcPr>
            <w:tcW w:w="320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274.8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274.8</w:t>
            </w:r>
          </w:p>
        </w:tc>
        <w:tc>
          <w:tcPr>
            <w:tcW w:w="0" w:type="dxa"/>
            <w:vAlign w:val="bottom"/>
          </w:tcPr>
          <w:p>
            <w:pPr>
              <w:spacing w:after="0"/>
              <w:rPr>
                <w:sz w:val="1"/>
                <w:szCs w:val="1"/>
                <w:color w:val="auto"/>
              </w:rPr>
            </w:pPr>
          </w:p>
        </w:tc>
      </w:tr>
      <w:tr>
        <w:trPr>
          <w:trHeight w:val="231"/>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Other comprehensive income (loss)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33.1</w:t>
            </w:r>
          </w:p>
        </w:tc>
        <w:tc>
          <w:tcPr>
            <w:tcW w:w="0" w:type="dxa"/>
            <w:vAlign w:val="bottom"/>
          </w:tcPr>
          <w:p>
            <w:pPr>
              <w:spacing w:after="0"/>
              <w:rPr>
                <w:sz w:val="1"/>
                <w:szCs w:val="1"/>
                <w:color w:val="auto"/>
              </w:rPr>
            </w:pPr>
          </w:p>
        </w:tc>
      </w:tr>
      <w:tr>
        <w:trPr>
          <w:trHeight w:val="163"/>
        </w:trPr>
        <w:tc>
          <w:tcPr>
            <w:tcW w:w="3200" w:type="dxa"/>
            <w:vAlign w:val="bottom"/>
          </w:tcPr>
          <w:p>
            <w:pPr>
              <w:ind w:left="220"/>
              <w:spacing w:after="0" w:line="163" w:lineRule="exact"/>
              <w:rPr>
                <w:sz w:val="20"/>
                <w:szCs w:val="20"/>
                <w:color w:val="auto"/>
              </w:rPr>
            </w:pPr>
            <w:r>
              <w:rPr>
                <w:rFonts w:ascii="Times New Roman" w:cs="Times New Roman" w:eastAsia="Times New Roman" w:hAnsi="Times New Roman"/>
                <w:sz w:val="17"/>
                <w:szCs w:val="17"/>
                <w:b w:val="1"/>
                <w:bCs w:val="1"/>
                <w:color w:val="auto"/>
              </w:rPr>
              <w:t>Shares issued, pursuant to share-based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200" w:type="dxa"/>
            <w:vAlign w:val="bottom"/>
          </w:tcPr>
          <w:p>
            <w:pPr>
              <w:ind w:left="220"/>
              <w:spacing w:after="0" w:line="174" w:lineRule="exact"/>
              <w:rPr>
                <w:sz w:val="20"/>
                <w:szCs w:val="20"/>
                <w:color w:val="auto"/>
              </w:rPr>
            </w:pPr>
            <w:r>
              <w:rPr>
                <w:rFonts w:ascii="Times New Roman" w:cs="Times New Roman" w:eastAsia="Times New Roman" w:hAnsi="Times New Roman"/>
                <w:sz w:val="17"/>
                <w:szCs w:val="17"/>
                <w:b w:val="1"/>
                <w:bCs w:val="1"/>
                <w:color w:val="auto"/>
              </w:rPr>
              <w:t>compensation arrangements, net of</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5"/>
                <w:szCs w:val="15"/>
                <w:color w:val="auto"/>
              </w:rPr>
            </w:pPr>
          </w:p>
        </w:tc>
        <w:tc>
          <w:tcPr>
            <w:tcW w:w="1040" w:type="dxa"/>
            <w:vAlign w:val="bottom"/>
            <w:vMerge w:val="restart"/>
          </w:tcPr>
          <w:p>
            <w:pPr>
              <w:ind w:left="680"/>
              <w:spacing w:after="0"/>
              <w:rPr>
                <w:sz w:val="20"/>
                <w:szCs w:val="20"/>
                <w:color w:val="auto"/>
              </w:rPr>
            </w:pPr>
            <w:r>
              <w:rPr>
                <w:rFonts w:ascii="Times New Roman" w:cs="Times New Roman" w:eastAsia="Times New Roman" w:hAnsi="Times New Roman"/>
                <w:sz w:val="17"/>
                <w:szCs w:val="17"/>
                <w:b w:val="1"/>
                <w:bCs w:val="1"/>
                <w:color w:val="auto"/>
              </w:rPr>
              <w:t>(8.8)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5"/>
                <w:szCs w:val="15"/>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(8.8)</w:t>
            </w:r>
          </w:p>
        </w:tc>
        <w:tc>
          <w:tcPr>
            <w:tcW w:w="0" w:type="dxa"/>
            <w:vAlign w:val="bottom"/>
          </w:tcPr>
          <w:p>
            <w:pPr>
              <w:spacing w:after="0"/>
              <w:rPr>
                <w:sz w:val="1"/>
                <w:szCs w:val="1"/>
                <w:color w:val="auto"/>
              </w:rPr>
            </w:pPr>
          </w:p>
        </w:tc>
      </w:tr>
      <w:tr>
        <w:trPr>
          <w:trHeight w:val="228"/>
        </w:trPr>
        <w:tc>
          <w:tcPr>
            <w:tcW w:w="320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shares withheld for taxes</w:t>
            </w: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Share-based compensation</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24.1</w:t>
            </w:r>
          </w:p>
        </w:tc>
        <w:tc>
          <w:tcPr>
            <w:tcW w:w="0" w:type="dxa"/>
            <w:vAlign w:val="bottom"/>
          </w:tcPr>
          <w:p>
            <w:pPr>
              <w:spacing w:after="0"/>
              <w:rPr>
                <w:sz w:val="1"/>
                <w:szCs w:val="1"/>
                <w:color w:val="auto"/>
              </w:rPr>
            </w:pPr>
          </w:p>
        </w:tc>
      </w:tr>
      <w:tr>
        <w:trPr>
          <w:trHeight w:val="163"/>
        </w:trPr>
        <w:tc>
          <w:tcPr>
            <w:tcW w:w="3200" w:type="dxa"/>
            <w:vAlign w:val="bottom"/>
          </w:tcPr>
          <w:p>
            <w:pPr>
              <w:ind w:left="240"/>
              <w:spacing w:after="0" w:line="163" w:lineRule="exact"/>
              <w:rPr>
                <w:sz w:val="20"/>
                <w:szCs w:val="20"/>
                <w:color w:val="auto"/>
              </w:rPr>
            </w:pPr>
            <w:r>
              <w:rPr>
                <w:rFonts w:ascii="Times New Roman" w:cs="Times New Roman" w:eastAsia="Times New Roman" w:hAnsi="Times New Roman"/>
                <w:sz w:val="17"/>
                <w:szCs w:val="17"/>
                <w:b w:val="1"/>
                <w:bCs w:val="1"/>
                <w:color w:val="auto"/>
              </w:rPr>
              <w:t>Repurchase of common stock, including</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(4.7)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300.0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(998.2)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(698.2)</w:t>
            </w:r>
          </w:p>
        </w:tc>
        <w:tc>
          <w:tcPr>
            <w:tcW w:w="0" w:type="dxa"/>
            <w:vAlign w:val="bottom"/>
          </w:tcPr>
          <w:p>
            <w:pPr>
              <w:spacing w:after="0"/>
              <w:rPr>
                <w:sz w:val="1"/>
                <w:szCs w:val="1"/>
                <w:color w:val="auto"/>
              </w:rPr>
            </w:pPr>
          </w:p>
        </w:tc>
      </w:tr>
      <w:tr>
        <w:trPr>
          <w:trHeight w:val="227"/>
        </w:trPr>
        <w:tc>
          <w:tcPr>
            <w:tcW w:w="3200" w:type="dxa"/>
            <w:vAlign w:val="bottom"/>
          </w:tcPr>
          <w:p>
            <w:pPr>
              <w:ind w:left="240"/>
              <w:spacing w:after="0"/>
              <w:rPr>
                <w:sz w:val="20"/>
                <w:szCs w:val="20"/>
                <w:color w:val="auto"/>
              </w:rPr>
            </w:pPr>
            <w:r>
              <w:rPr>
                <w:rFonts w:ascii="Times New Roman" w:cs="Times New Roman" w:eastAsia="Times New Roman" w:hAnsi="Times New Roman"/>
                <w:sz w:val="17"/>
                <w:szCs w:val="17"/>
                <w:b w:val="1"/>
                <w:bCs w:val="1"/>
                <w:color w:val="auto"/>
              </w:rPr>
              <w:t>excise tax</w:t>
            </w: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Dividends declared ($0.40 per share)</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(83.3)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(83.3)</w:t>
            </w:r>
          </w:p>
        </w:tc>
        <w:tc>
          <w:tcPr>
            <w:tcW w:w="0" w:type="dxa"/>
            <w:vAlign w:val="bottom"/>
          </w:tcPr>
          <w:p>
            <w:pPr>
              <w:spacing w:after="0"/>
              <w:rPr>
                <w:sz w:val="1"/>
                <w:szCs w:val="1"/>
                <w:color w:val="auto"/>
              </w:rPr>
            </w:pPr>
          </w:p>
        </w:tc>
      </w:tr>
      <w:tr>
        <w:trPr>
          <w:trHeight w:val="225"/>
        </w:trPr>
        <w:tc>
          <w:tcPr>
            <w:tcW w:w="3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September 27, 2025</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205.7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3,989.0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(3,363.5)</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(228.1)</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399.5</w:t>
            </w: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561.3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561.3</w:t>
            </w:r>
          </w:p>
        </w:tc>
        <w:tc>
          <w:tcPr>
            <w:tcW w:w="0" w:type="dxa"/>
            <w:vAlign w:val="bottom"/>
          </w:tcPr>
          <w:p>
            <w:pPr>
              <w:spacing w:after="0"/>
              <w:rPr>
                <w:sz w:val="1"/>
                <w:szCs w:val="1"/>
                <w:color w:val="auto"/>
              </w:rPr>
            </w:pPr>
          </w:p>
        </w:tc>
      </w:tr>
      <w:tr>
        <w:trPr>
          <w:trHeight w:val="228"/>
        </w:trPr>
        <w:tc>
          <w:tcPr>
            <w:tcW w:w="320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Other comprehensive income (loss)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9"/>
                <w:szCs w:val="19"/>
                <w:color w:val="auto"/>
              </w:rPr>
            </w:pP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26.5</w:t>
            </w:r>
          </w:p>
        </w:tc>
        <w:tc>
          <w:tcPr>
            <w:tcW w:w="0" w:type="dxa"/>
            <w:vAlign w:val="bottom"/>
          </w:tcPr>
          <w:p>
            <w:pPr>
              <w:spacing w:after="0"/>
              <w:rPr>
                <w:sz w:val="1"/>
                <w:szCs w:val="1"/>
                <w:color w:val="auto"/>
              </w:rPr>
            </w:pPr>
          </w:p>
        </w:tc>
      </w:tr>
      <w:tr>
        <w:trPr>
          <w:trHeight w:val="165"/>
        </w:trPr>
        <w:tc>
          <w:tcPr>
            <w:tcW w:w="320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7"/>
                <w:szCs w:val="17"/>
                <w:b w:val="1"/>
                <w:bCs w:val="1"/>
                <w:color w:val="auto"/>
              </w:rPr>
              <w:t>Shares issued, pursuant to share-based</w:t>
            </w: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200" w:type="dxa"/>
            <w:vAlign w:val="bottom"/>
            <w:shd w:val="clear" w:color="auto" w:fill="CCEEFF"/>
          </w:tcPr>
          <w:p>
            <w:pPr>
              <w:ind w:left="220"/>
              <w:spacing w:after="0" w:line="174" w:lineRule="exact"/>
              <w:rPr>
                <w:sz w:val="20"/>
                <w:szCs w:val="20"/>
                <w:color w:val="auto"/>
              </w:rPr>
            </w:pPr>
            <w:r>
              <w:rPr>
                <w:rFonts w:ascii="Times New Roman" w:cs="Times New Roman" w:eastAsia="Times New Roman" w:hAnsi="Times New Roman"/>
                <w:sz w:val="17"/>
                <w:szCs w:val="17"/>
                <w:b w:val="1"/>
                <w:bCs w:val="1"/>
                <w:color w:val="auto"/>
              </w:rPr>
              <w:t>compensation arrangements, net of</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5"/>
                <w:szCs w:val="15"/>
                <w:color w:val="auto"/>
              </w:rPr>
            </w:pPr>
          </w:p>
        </w:tc>
        <w:tc>
          <w:tcPr>
            <w:tcW w:w="1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19.1</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shares withheld for taxes</w:t>
            </w: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3"/>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20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Share-based compensation</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29.6</w:t>
            </w:r>
          </w:p>
        </w:tc>
        <w:tc>
          <w:tcPr>
            <w:tcW w:w="0" w:type="dxa"/>
            <w:vAlign w:val="bottom"/>
          </w:tcPr>
          <w:p>
            <w:pPr>
              <w:spacing w:after="0"/>
              <w:rPr>
                <w:sz w:val="1"/>
                <w:szCs w:val="1"/>
                <w:color w:val="auto"/>
              </w:rPr>
            </w:pPr>
          </w:p>
        </w:tc>
      </w:tr>
      <w:tr>
        <w:trPr>
          <w:trHeight w:val="165"/>
        </w:trPr>
        <w:tc>
          <w:tcPr>
            <w:tcW w:w="320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7"/>
                <w:szCs w:val="17"/>
                <w:b w:val="1"/>
                <w:bCs w:val="1"/>
                <w:color w:val="auto"/>
              </w:rPr>
              <w:t>Repurchase of common stock, including</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(403.4)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(403.5)</w:t>
            </w:r>
          </w:p>
        </w:tc>
        <w:tc>
          <w:tcPr>
            <w:tcW w:w="0" w:type="dxa"/>
            <w:vAlign w:val="bottom"/>
          </w:tcPr>
          <w:p>
            <w:pPr>
              <w:spacing w:after="0"/>
              <w:rPr>
                <w:sz w:val="1"/>
                <w:szCs w:val="1"/>
                <w:color w:val="auto"/>
              </w:rPr>
            </w:pPr>
          </w:p>
        </w:tc>
      </w:tr>
      <w:tr>
        <w:trPr>
          <w:trHeight w:val="228"/>
        </w:trPr>
        <w:tc>
          <w:tcPr>
            <w:tcW w:w="3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b w:val="1"/>
                <w:bCs w:val="1"/>
                <w:color w:val="auto"/>
              </w:rPr>
              <w:t>excise tax</w:t>
            </w: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20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Dividends declared ($0.40 per share)</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(81.3)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(81.3)</w:t>
            </w:r>
          </w:p>
        </w:tc>
        <w:tc>
          <w:tcPr>
            <w:tcW w:w="0" w:type="dxa"/>
            <w:vAlign w:val="bottom"/>
          </w:tcPr>
          <w:p>
            <w:pPr>
              <w:spacing w:after="0"/>
              <w:rPr>
                <w:sz w:val="1"/>
                <w:szCs w:val="1"/>
                <w:color w:val="auto"/>
              </w:rPr>
            </w:pPr>
          </w:p>
        </w:tc>
      </w:tr>
      <w:tr>
        <w:trPr>
          <w:trHeight w:val="250"/>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27, 2025</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4,037.7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(3,286.9)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551.2</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("AOCI"), as of the dates indicated,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1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540" w:type="dxa"/>
            <w:vAlign w:val="bottom"/>
            <w:gridSpan w:val="3"/>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rPr>
              <w:t>(Losses) on Cash</w:t>
            </w:r>
          </w:p>
        </w:tc>
        <w:tc>
          <w:tcPr>
            <w:tcW w:w="160" w:type="dxa"/>
            <w:vAlign w:val="bottom"/>
          </w:tcPr>
          <w:p>
            <w:pPr>
              <w:spacing w:after="0"/>
              <w:rPr>
                <w:sz w:val="15"/>
                <w:szCs w:val="15"/>
                <w:color w:val="auto"/>
              </w:rPr>
            </w:pPr>
          </w:p>
        </w:tc>
        <w:tc>
          <w:tcPr>
            <w:tcW w:w="136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15"/>
                <w:szCs w:val="15"/>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Cumulative</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Flow</w:t>
            </w:r>
          </w:p>
        </w:tc>
        <w:tc>
          <w:tcPr>
            <w:tcW w:w="160" w:type="dxa"/>
            <w:vAlign w:val="bottom"/>
          </w:tcPr>
          <w:p>
            <w:pPr>
              <w:spacing w:after="0"/>
              <w:rPr>
                <w:sz w:val="16"/>
                <w:szCs w:val="16"/>
                <w:color w:val="auto"/>
              </w:rPr>
            </w:pPr>
          </w:p>
        </w:tc>
        <w:tc>
          <w:tcPr>
            <w:tcW w:w="136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7"/>
              </w:rPr>
              <w:t>on Available-</w:t>
            </w:r>
          </w:p>
        </w:tc>
        <w:tc>
          <w:tcPr>
            <w:tcW w:w="1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rPr>
              <w:t>Hedging</w:t>
            </w:r>
          </w:p>
        </w:tc>
        <w:tc>
          <w:tcPr>
            <w:tcW w:w="160" w:type="dxa"/>
            <w:vAlign w:val="bottom"/>
          </w:tcPr>
          <w:p>
            <w:pPr>
              <w:spacing w:after="0"/>
              <w:rPr>
                <w:sz w:val="15"/>
                <w:szCs w:val="15"/>
                <w:color w:val="auto"/>
              </w:rPr>
            </w:pPr>
          </w:p>
        </w:tc>
        <w:tc>
          <w:tcPr>
            <w:tcW w:w="13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rPr>
              <w:t>for-Sale</w:t>
            </w:r>
          </w:p>
        </w:tc>
        <w:tc>
          <w:tcPr>
            <w:tcW w:w="14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220" w:type="dxa"/>
            <w:vAlign w:val="bottom"/>
          </w:tcPr>
          <w:p>
            <w:pPr>
              <w:spacing w:after="0"/>
              <w:rPr>
                <w:sz w:val="15"/>
                <w:szCs w:val="15"/>
                <w:color w:val="auto"/>
              </w:rPr>
            </w:pPr>
          </w:p>
        </w:tc>
        <w:tc>
          <w:tcPr>
            <w:tcW w:w="8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280"/>
              <w:spacing w:after="0" w:line="243" w:lineRule="exact"/>
              <w:rPr>
                <w:sz w:val="20"/>
                <w:szCs w:val="20"/>
                <w:color w:val="auto"/>
              </w:rPr>
            </w:pPr>
            <w:r>
              <w:rPr>
                <w:rFonts w:ascii="Times New Roman" w:cs="Times New Roman" w:eastAsia="Times New Roman" w:hAnsi="Times New Roman"/>
                <w:sz w:val="18"/>
                <w:szCs w:val="18"/>
                <w:b w:val="1"/>
                <w:bCs w:val="1"/>
                <w:color w:val="auto"/>
                <w:w w:val="95"/>
              </w:rPr>
              <w:t>Derivatives</w:t>
            </w:r>
            <w:r>
              <w:rPr>
                <w:rFonts w:ascii="Times New Roman" w:cs="Times New Roman" w:eastAsia="Times New Roman" w:hAnsi="Times New Roman"/>
                <w:sz w:val="23"/>
                <w:szCs w:val="23"/>
                <w:b w:val="1"/>
                <w:bCs w:val="1"/>
                <w:color w:val="auto"/>
                <w:w w:val="95"/>
                <w:vertAlign w:val="superscript"/>
              </w:rPr>
              <w:t>(1)</w:t>
            </w: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60"/>
              <w:spacing w:after="0" w:line="243" w:lineRule="exact"/>
              <w:rPr>
                <w:sz w:val="20"/>
                <w:szCs w:val="20"/>
                <w:color w:val="auto"/>
              </w:rPr>
            </w:pPr>
            <w:r>
              <w:rPr>
                <w:rFonts w:ascii="Times New Roman" w:cs="Times New Roman" w:eastAsia="Times New Roman" w:hAnsi="Times New Roman"/>
                <w:sz w:val="18"/>
                <w:szCs w:val="18"/>
                <w:b w:val="1"/>
                <w:bCs w:val="1"/>
                <w:color w:val="auto"/>
                <w:w w:val="95"/>
              </w:rPr>
              <w:t>Adjustment</w:t>
            </w:r>
            <w:r>
              <w:rPr>
                <w:rFonts w:ascii="Times New Roman" w:cs="Times New Roman" w:eastAsia="Times New Roman" w:hAnsi="Times New Roman"/>
                <w:sz w:val="23"/>
                <w:szCs w:val="23"/>
                <w:b w:val="1"/>
                <w:bCs w:val="1"/>
                <w:color w:val="auto"/>
                <w:w w:val="95"/>
                <w:vertAlign w:val="superscript"/>
              </w:rPr>
              <w:t>(2)</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June 29,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229"/>
        </w:trPr>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176"/>
        </w:trPr>
        <w:tc>
          <w:tcPr>
            <w:tcW w:w="5560" w:type="dxa"/>
            <w:vAlign w:val="bottom"/>
            <w:gridSpan w:val="2"/>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Less: amounts reclassified from accumulated other comprehensive</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income to earnings</w:t>
            </w: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28,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1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28,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(261.2)</w:t>
            </w:r>
          </w:p>
        </w:tc>
        <w:tc>
          <w:tcPr>
            <w:tcW w:w="0" w:type="dxa"/>
            <w:vAlign w:val="bottom"/>
          </w:tcPr>
          <w:p>
            <w:pPr>
              <w:spacing w:after="0"/>
              <w:rPr>
                <w:sz w:val="1"/>
                <w:szCs w:val="1"/>
                <w:color w:val="auto"/>
              </w:rPr>
            </w:pPr>
          </w:p>
        </w:tc>
      </w:tr>
      <w:tr>
        <w:trPr>
          <w:trHeight w:val="230"/>
        </w:trPr>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reclassifications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75.6</w:t>
            </w:r>
          </w:p>
        </w:tc>
        <w:tc>
          <w:tcPr>
            <w:tcW w:w="0" w:type="dxa"/>
            <w:vAlign w:val="bottom"/>
          </w:tcPr>
          <w:p>
            <w:pPr>
              <w:spacing w:after="0"/>
              <w:rPr>
                <w:sz w:val="1"/>
                <w:szCs w:val="1"/>
                <w:color w:val="auto"/>
              </w:rPr>
            </w:pPr>
          </w:p>
        </w:tc>
      </w:tr>
      <w:tr>
        <w:trPr>
          <w:trHeight w:val="175"/>
        </w:trPr>
        <w:tc>
          <w:tcPr>
            <w:tcW w:w="5560" w:type="dxa"/>
            <w:vAlign w:val="bottom"/>
            <w:gridSpan w:val="2"/>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b w:val="1"/>
                <w:bCs w:val="1"/>
                <w:color w:val="auto"/>
              </w:rPr>
              <w:t>Less: amounts reclassified from accumulated other comprehensive</w:t>
            </w:r>
          </w:p>
        </w:tc>
        <w:tc>
          <w:tcPr>
            <w:tcW w:w="1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0" w:type="dxa"/>
            <w:vAlign w:val="bottom"/>
          </w:tcPr>
          <w:p>
            <w:pPr>
              <w:spacing w:after="0"/>
              <w:rPr>
                <w:sz w:val="1"/>
                <w:szCs w:val="1"/>
                <w:color w:val="auto"/>
              </w:rPr>
            </w:pPr>
          </w:p>
        </w:tc>
      </w:tr>
      <w:tr>
        <w:trPr>
          <w:trHeight w:val="243"/>
        </w:trPr>
        <w:tc>
          <w:tcPr>
            <w:tcW w:w="55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income to earnings</w:t>
            </w:r>
          </w:p>
        </w:tc>
        <w:tc>
          <w:tcPr>
            <w:tcW w:w="18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44.0</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59.6</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27,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180" w:type="dxa"/>
            <w:vAlign w:val="bottom"/>
            <w:tcBorders>
              <w:bottom w:val="single" w:sz="8" w:color="auto"/>
            </w:tcBorders>
          </w:tcPr>
          <w:p>
            <w:pPr>
              <w:spacing w:after="0"/>
              <w:rPr>
                <w:sz w:val="13"/>
                <w:szCs w:val="13"/>
                <w:color w:val="auto"/>
              </w:rPr>
            </w:pPr>
          </w:p>
        </w:tc>
        <w:tc>
          <w:tcPr>
            <w:tcW w:w="3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left="340" w:hanging="332"/>
        <w:spacing w:after="0" w:line="235" w:lineRule="auto"/>
        <w:tabs>
          <w:tab w:leader="none" w:pos="47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ending balances of AOCI related to cash flow hedges are net of tax of $(0.6) million and $(1.2) million as of December 27, 2025 and December 28, 2024, respectively. The amounts reclassified from AOCI are net of tax of $(0.5) million and ($1.1) million as of December 27, 2025 and December 28, 2024, respectively.</w:t>
      </w:r>
    </w:p>
    <w:p>
      <w:pPr>
        <w:spacing w:after="0" w:line="91" w:lineRule="exact"/>
        <w:rPr>
          <w:rFonts w:ascii="Times New Roman" w:cs="Times New Roman" w:eastAsia="Times New Roman" w:hAnsi="Times New Roman"/>
          <w:sz w:val="23"/>
          <w:szCs w:val="23"/>
          <w:color w:val="auto"/>
          <w:vertAlign w:val="superscript"/>
        </w:rPr>
      </w:pPr>
    </w:p>
    <w:p>
      <w:pPr>
        <w:jc w:val="both"/>
        <w:ind w:left="340" w:hanging="332"/>
        <w:spacing w:after="0" w:line="235" w:lineRule="auto"/>
        <w:tabs>
          <w:tab w:leader="none" w:pos="42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ending balances of AOCI related to the fair values of instruments designated as hedges of the Company's net investment in certain foreign operations as included in foreign currency translation adjustments are a loss of $51.2 million, net of tax of $6.5 million as of December 27, 2025. The ending balance as of December 28, 2024 is a gain of $10.5 million, net of tax of $(8.6) million.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 INSTRUMENTS AND HEDGING ACTIVITIES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majority of the Company’s purchases of finished goods are denominated in U.S. dollars, which limits the Company’s exposure to the transactional effects of foreign currency exchange rate fluctuations. However, the Company is exposed to foreign currency exchange risk related to its sale of U.S. dollar inventory to foreign operating subsidiaries in local currency, as well as risk related to various cross-currency intercompany loans and payables, and translation risk. The Company is also exposed to foreign currency risk related to changes in the U.S. dollar value of its net investment in foreign subsidiaries. The Company uses derivative financial instruments to manage these risks. These derivative transactions are in accordance with the Company’s risk management policies. The Company does not enter into derivative transactions for speculative or trading purposes.</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records all derivative contracts at fair value on the Condensed Consolidated Balance Sheets. The fair values of foreign currency derivatives are based on the forward curves of the specific indices upon which settlement is based and include an adjustment for the counterparty's or Company’s credit risk. Judgment is required of management in developing estimates of fair value. The use of different market assumptions or methodologies could affect the estimated fair value.</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cash flow derivative instruments that qualify for hedge accounting, the changes in the fair value of these instruments are recognized as a component of Accumulated other comprehensive income (loss) ("AOCI") until the hedged item is recognized in earnings. For derivative instruments that are designated as a net investment hedge, the changes in the fair value of the instruments are recognized as a component of AOCI and, upon discontinuation of the hedge, remain in AOCI until the net investment is sold or liquidated.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Each derivative instrument entered into by the Company that qualifies for hedge accounting is expected to be highly effective at reducing the risk associated with the exposure being hedged. For each derivative that is designated as a hedge, the Company documents the related risk management objective and strategy, including identification of the hedging instrument, the hedged item and the risk exposure, as well as how hedge effectiveness will be assessed over the term of the instrument. The extent to which a hedging instrument has been and is expected to remain highly effective in achieving offsetting changes in fair value or cash flows is assessed and documented by the Company on at least a quarterly basis.</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it is determined that a derivative instrument has not been highly effective and will continue not to be highly effective in hedging the designated exposure, hedge accounting is discontinued and further gains (losses) are recognized in earnings. Upon discontinuance of hedge accounting, the cumulative change in fair value of cash flow derivatives previously recorded in AOCI is recognized in earnings when the related hedged item affects earnings, consistent with the original hedging strategy, unless the forecasted transaction is no longer probable of occurring, in which case the accumulated amount is immediately recognized in earnings.</w:t>
      </w:r>
    </w:p>
    <w:p>
      <w:pPr>
        <w:spacing w:after="0" w:line="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foreign currency derivative instruments which are not designated as hedges, the changes in fair value of the instruments are recorded through earnings. These changes generally offset the revaluation of certain underlying assets and liabilities.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use of derivative instruments, the Company may be exposed to the risk that the counterparties to such contracts will fail to meet their contractual obligations. To mitigate this counterparty credit risk, the Company has a policy of only entering into contracts with carefully selected financial institutions based upon an evaluation of their credit ratings, among other factors.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values of the Company’s derivative instruments are recorded on its Condensed Consolidated Balance Sheets on a gross basis. For cash flow reporting purposes, the Company classifies proceeds received or amounts paid upon the settlement of a derivative instrument in the same manner as the related item being hedged, primarily within cash from operating activities.</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Hedging Portfolio</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enters into forward currency contracts primarily to reduce its risks related to exchange rate fluctuations on foreign currency denominated inventory transactions, as well as various cross-currency intercompany loans and payables. This primarily includes exposure to exchange rate fluctuations in Chinese Renminbi, Japanese Yen, Canadian Dollar and Euro. To the extent its derivative contracts designated as cash flow hedges are highly effective in offsetting changes in the value of the hedged items, the related gains (losses) are initially deferred in AOCI and subsequently recognized in the Condensed Consolidated Statements of Operations as part of the cost of the inventory purchases being hedged within Cost of sales, when the related inventory is sold to a third-party. Current maturity dates range from January 2026 to September 2027. Forward foreign currency exchange contracts which are not designated as hedges of intercompany and other contractual obligations are recognized within Other expense (income) on the Company's Condensed Consolidated Statement of Operations. The maturity date of most instruments held as of December 27, 2025 range from January 2026 to March 2026, and such contracts are typically renewed upon maturity if the related balance has not been settled.</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also enters into cross-currency swaps to reduce its risks related to exchange rate fluctuations on net investments in foreign subsidiaries, including our net investment in Euro-denominated subsidiaries, Japanese Yen-denominated subsidiaries and Chinese Renminbi subsidiaries against future volatility in the exchange rates between the United States dollar and their local currencies. The related gains (losses) are deferred in AOCI until the net investment is sold or liquidated, and current maturity dates range from November 2027 to March 2035.</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provide information related to the Company's derivative instruments recorded on the Company's Condensed Consolidated Balance Sheets as of December 27, 2025 and June 28, 2025:</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Notional Value</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4"/>
          </w:tcPr>
          <w:p>
            <w:pPr>
              <w:ind w:left="104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center"/>
              <w:ind w:left="412"/>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6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3"/>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Consolidated</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8"/>
              </w:rPr>
              <w:t>Consolidated</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27,</w:t>
            </w:r>
          </w:p>
        </w:tc>
        <w:tc>
          <w:tcPr>
            <w:tcW w:w="1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June 28,</w:t>
            </w:r>
          </w:p>
        </w:tc>
        <w:tc>
          <w:tcPr>
            <w:tcW w:w="100" w:type="dxa"/>
            <w:vAlign w:val="bottom"/>
          </w:tcPr>
          <w:p>
            <w:pPr>
              <w:spacing w:after="0"/>
              <w:rPr>
                <w:sz w:val="19"/>
                <w:szCs w:val="19"/>
                <w:color w:val="auto"/>
              </w:rPr>
            </w:pPr>
          </w:p>
        </w:tc>
        <w:tc>
          <w:tcPr>
            <w:tcW w:w="11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Balance Sheet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27,</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June 28,</w:t>
            </w:r>
          </w:p>
        </w:tc>
        <w:tc>
          <w:tcPr>
            <w:tcW w:w="100" w:type="dxa"/>
            <w:vAlign w:val="bottom"/>
          </w:tcPr>
          <w:p>
            <w:pPr>
              <w:spacing w:after="0"/>
              <w:rPr>
                <w:sz w:val="19"/>
                <w:szCs w:val="19"/>
                <w:color w:val="auto"/>
              </w:rPr>
            </w:pPr>
          </w:p>
        </w:tc>
        <w:tc>
          <w:tcPr>
            <w:tcW w:w="14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Balance Sheet</w:t>
            </w:r>
          </w:p>
        </w:tc>
        <w:tc>
          <w:tcPr>
            <w:tcW w:w="14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27,</w:t>
            </w:r>
          </w:p>
        </w:tc>
        <w:tc>
          <w:tcPr>
            <w:tcW w:w="10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June 28,</w:t>
            </w:r>
          </w:p>
        </w:tc>
        <w:tc>
          <w:tcPr>
            <w:tcW w:w="0" w:type="dxa"/>
            <w:vAlign w:val="bottom"/>
          </w:tcPr>
          <w:p>
            <w:pPr>
              <w:spacing w:after="0"/>
              <w:rPr>
                <w:sz w:val="1"/>
                <w:szCs w:val="1"/>
                <w:color w:val="auto"/>
              </w:rPr>
            </w:pPr>
          </w:p>
        </w:tc>
      </w:tr>
      <w:tr>
        <w:trPr>
          <w:trHeight w:val="241"/>
        </w:trPr>
        <w:tc>
          <w:tcPr>
            <w:tcW w:w="1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left="31"/>
              <w:spacing w:after="0"/>
              <w:rPr>
                <w:sz w:val="20"/>
                <w:szCs w:val="20"/>
                <w:color w:val="auto"/>
              </w:rPr>
            </w:pPr>
            <w:r>
              <w:rPr>
                <w:rFonts w:ascii="Times New Roman" w:cs="Times New Roman" w:eastAsia="Times New Roman" w:hAnsi="Times New Roman"/>
                <w:sz w:val="18"/>
                <w:szCs w:val="18"/>
                <w:color w:val="auto"/>
                <w:w w:val="98"/>
              </w:rPr>
              <w:t>Classification</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color w:val="auto"/>
                <w:w w:val="98"/>
              </w:rPr>
              <w:t>Classification</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192"/>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left="592"/>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6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Designated Derivative Hedging Instruments:</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FC - Inventory</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ind w:left="31"/>
              <w:spacing w:after="0" w:line="189" w:lineRule="exact"/>
              <w:rPr>
                <w:sz w:val="20"/>
                <w:szCs w:val="20"/>
                <w:color w:val="auto"/>
              </w:rPr>
            </w:pPr>
            <w:r>
              <w:rPr>
                <w:rFonts w:ascii="Times New Roman" w:cs="Times New Roman" w:eastAsia="Times New Roman" w:hAnsi="Times New Roman"/>
                <w:sz w:val="18"/>
                <w:szCs w:val="18"/>
                <w:color w:val="auto"/>
              </w:rPr>
              <w:t>Other Current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ind w:right="11"/>
              <w:spacing w:after="0" w:line="189" w:lineRule="exact"/>
              <w:rPr>
                <w:sz w:val="20"/>
                <w:szCs w:val="20"/>
                <w:color w:val="auto"/>
              </w:rPr>
            </w:pPr>
            <w:r>
              <w:rPr>
                <w:rFonts w:ascii="Times New Roman" w:cs="Times New Roman" w:eastAsia="Times New Roman" w:hAnsi="Times New Roman"/>
                <w:sz w:val="18"/>
                <w:szCs w:val="18"/>
                <w:color w:val="auto"/>
              </w:rPr>
              <w:t>Accrued</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w:t>
            </w:r>
            <w:r>
              <w:rPr>
                <w:rFonts w:ascii="Times New Roman" w:cs="Times New Roman" w:eastAsia="Times New Roman" w:hAnsi="Times New Roman"/>
                <w:sz w:val="23"/>
                <w:szCs w:val="23"/>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832.6</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100" w:type="dxa"/>
            <w:vAlign w:val="bottom"/>
          </w:tcPr>
          <w:p>
            <w:pPr>
              <w:spacing w:after="0"/>
              <w:rPr>
                <w:sz w:val="23"/>
                <w:szCs w:val="23"/>
                <w:color w:val="auto"/>
              </w:rPr>
            </w:pPr>
          </w:p>
        </w:tc>
        <w:tc>
          <w:tcPr>
            <w:tcW w:w="11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7"/>
              </w:rPr>
              <w:t>Assets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3"/>
                <w:szCs w:val="23"/>
                <w:color w:val="auto"/>
              </w:rPr>
            </w:pPr>
          </w:p>
        </w:tc>
        <w:tc>
          <w:tcPr>
            <w:tcW w:w="14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98"/>
        </w:trPr>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rPr>
              <w:t>Other Current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center"/>
              <w:ind w:right="11"/>
              <w:spacing w:after="0" w:line="198" w:lineRule="exact"/>
              <w:rPr>
                <w:sz w:val="20"/>
                <w:szCs w:val="20"/>
                <w:color w:val="auto"/>
              </w:rPr>
            </w:pPr>
            <w:r>
              <w:rPr>
                <w:rFonts w:ascii="Times New Roman" w:cs="Times New Roman" w:eastAsia="Times New Roman" w:hAnsi="Times New Roman"/>
                <w:sz w:val="18"/>
                <w:szCs w:val="18"/>
                <w:color w:val="auto"/>
              </w:rPr>
              <w:t>Accrued</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1380" w:type="dxa"/>
            <w:vAlign w:val="bottom"/>
            <w:vMerge w:val="restart"/>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Net investment</w:t>
            </w: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0" w:type="dxa"/>
            <w:vAlign w:val="bottom"/>
            <w:vMerge w:val="restart"/>
            <w:shd w:val="clear" w:color="auto" w:fill="CCEEFF"/>
          </w:tcPr>
          <w:p>
            <w:pPr>
              <w:jc w:val="center"/>
              <w:ind w:right="11"/>
              <w:spacing w:after="0" w:line="194" w:lineRule="exact"/>
              <w:rPr>
                <w:sz w:val="20"/>
                <w:szCs w:val="20"/>
                <w:color w:val="auto"/>
              </w:rPr>
            </w:pPr>
            <w:r>
              <w:rPr>
                <w:rFonts w:ascii="Times New Roman" w:cs="Times New Roman" w:eastAsia="Times New Roman" w:hAnsi="Times New Roman"/>
                <w:sz w:val="18"/>
                <w:szCs w:val="18"/>
                <w:color w:val="auto"/>
                <w:w w:val="98"/>
              </w:rPr>
              <w:t>Liabilities &amp;</w:t>
            </w:r>
          </w:p>
        </w:tc>
        <w:tc>
          <w:tcPr>
            <w:tcW w:w="14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3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40" w:type="dxa"/>
            <w:vAlign w:val="bottom"/>
            <w:gridSpan w:val="3"/>
            <w:vMerge w:val="restart"/>
            <w:shd w:val="clear" w:color="auto" w:fill="CCEEFF"/>
          </w:tcPr>
          <w:p>
            <w:pPr>
              <w:jc w:val="center"/>
              <w:ind w:right="150"/>
              <w:spacing w:after="0" w:line="199" w:lineRule="exact"/>
              <w:rPr>
                <w:sz w:val="20"/>
                <w:szCs w:val="20"/>
                <w:color w:val="auto"/>
              </w:rPr>
            </w:pPr>
            <w:r>
              <w:rPr>
                <w:rFonts w:ascii="Times New Roman" w:cs="Times New Roman" w:eastAsia="Times New Roman" w:hAnsi="Times New Roman"/>
                <w:sz w:val="18"/>
                <w:szCs w:val="18"/>
                <w:color w:val="auto"/>
                <w:w w:val="99"/>
              </w:rPr>
              <w:t>Assets &amp; Other</w:t>
            </w: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3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hedges</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40" w:type="dxa"/>
            <w:vAlign w:val="bottom"/>
            <w:gridSpan w:val="3"/>
            <w:vMerge w:val="continue"/>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0" w:type="dxa"/>
            <w:vAlign w:val="bottom"/>
            <w:vMerge w:val="restart"/>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3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1,690.0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center"/>
              <w:ind w:left="31"/>
              <w:spacing w:after="0" w:line="184" w:lineRule="exact"/>
              <w:rPr>
                <w:sz w:val="20"/>
                <w:szCs w:val="20"/>
                <w:color w:val="auto"/>
              </w:rPr>
            </w:pPr>
            <w:r>
              <w:rPr>
                <w:rFonts w:ascii="Times New Roman" w:cs="Times New Roman" w:eastAsia="Times New Roman" w:hAnsi="Times New Roman"/>
                <w:sz w:val="17"/>
                <w:szCs w:val="17"/>
                <w:color w:val="auto"/>
              </w:rPr>
              <w:t>Assets</w:t>
            </w:r>
            <w:r>
              <w:rPr>
                <w:rFonts w:ascii="Times New Roman" w:cs="Times New Roman" w:eastAsia="Times New Roman" w:hAnsi="Times New Roman"/>
                <w:sz w:val="21"/>
                <w:szCs w:val="21"/>
                <w:color w:val="auto"/>
                <w:vertAlign w:val="superscript"/>
              </w:rPr>
              <w:t>(4)</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0" w:type="dxa"/>
            <w:vAlign w:val="bottom"/>
          </w:tcPr>
          <w:p>
            <w:pPr>
              <w:spacing w:after="0"/>
              <w:rPr>
                <w:sz w:val="1"/>
                <w:szCs w:val="1"/>
                <w:color w:val="auto"/>
              </w:rPr>
            </w:pPr>
          </w:p>
        </w:tc>
      </w:tr>
      <w:tr>
        <w:trPr>
          <w:trHeight w:val="189"/>
        </w:trPr>
        <w:tc>
          <w:tcPr>
            <w:tcW w:w="13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center"/>
              <w:ind w:right="11"/>
              <w:spacing w:after="0" w:line="189" w:lineRule="exact"/>
              <w:rPr>
                <w:sz w:val="20"/>
                <w:szCs w:val="20"/>
                <w:color w:val="auto"/>
              </w:rPr>
            </w:pPr>
            <w:r>
              <w:rPr>
                <w:rFonts w:ascii="Times New Roman" w:cs="Times New Roman" w:eastAsia="Times New Roman" w:hAnsi="Times New Roman"/>
                <w:sz w:val="17"/>
                <w:szCs w:val="17"/>
                <w:color w:val="auto"/>
              </w:rPr>
              <w:t>Liabilities</w:t>
            </w:r>
            <w:r>
              <w:rPr>
                <w:rFonts w:ascii="Times New Roman" w:cs="Times New Roman" w:eastAsia="Times New Roman" w:hAnsi="Times New Roman"/>
                <w:sz w:val="21"/>
                <w:szCs w:val="21"/>
                <w:color w:val="auto"/>
                <w:vertAlign w:val="superscript"/>
              </w:rPr>
              <w:t>(5)</w:t>
            </w: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380" w:type="dxa"/>
            <w:vAlign w:val="bottom"/>
          </w:tcPr>
          <w:p>
            <w:pPr>
              <w:ind w:left="140"/>
              <w:spacing w:after="0" w:line="174" w:lineRule="exact"/>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8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b w:val="1"/>
                <w:bCs w:val="1"/>
                <w:color w:val="auto"/>
              </w:rPr>
              <w:t>designated</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b w:val="1"/>
                <w:bCs w:val="1"/>
                <w:color w:val="auto"/>
              </w:rPr>
              <w:t>hedge</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1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2,522.6</w:t>
            </w: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61.2</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tcPr>
          <w:p>
            <w:pPr>
              <w:spacing w:after="0"/>
              <w:rPr>
                <w:sz w:val="23"/>
                <w:szCs w:val="23"/>
                <w:color w:val="auto"/>
              </w:rPr>
            </w:pPr>
          </w:p>
        </w:tc>
        <w:tc>
          <w:tcPr>
            <w:tcW w:w="14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0" w:type="dxa"/>
            <w:vAlign w:val="bottom"/>
          </w:tcPr>
          <w:p>
            <w:pPr>
              <w:spacing w:after="0"/>
              <w:rPr>
                <w:sz w:val="1"/>
                <w:szCs w:val="1"/>
                <w:color w:val="auto"/>
              </w:rPr>
            </w:pPr>
          </w:p>
        </w:tc>
      </w:tr>
      <w:tr>
        <w:trPr>
          <w:trHeight w:val="209"/>
        </w:trPr>
        <w:tc>
          <w:tcPr>
            <w:tcW w:w="27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Undesignated Hedging Instruments: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FC -</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restart"/>
          </w:tcPr>
          <w:p>
            <w:pPr>
              <w:jc w:val="center"/>
              <w:ind w:left="31"/>
              <w:spacing w:after="0"/>
              <w:rPr>
                <w:sz w:val="20"/>
                <w:szCs w:val="20"/>
                <w:color w:val="auto"/>
              </w:rPr>
            </w:pPr>
            <w:r>
              <w:rPr>
                <w:rFonts w:ascii="Times New Roman" w:cs="Times New Roman" w:eastAsia="Times New Roman" w:hAnsi="Times New Roman"/>
                <w:sz w:val="18"/>
                <w:szCs w:val="18"/>
                <w:color w:val="auto"/>
              </w:rPr>
              <w:t>Other Current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vMerge w:val="restart"/>
          </w:tcPr>
          <w:p>
            <w:pPr>
              <w:jc w:val="center"/>
              <w:ind w:right="11"/>
              <w:spacing w:after="0"/>
              <w:rPr>
                <w:sz w:val="20"/>
                <w:szCs w:val="20"/>
                <w:color w:val="auto"/>
              </w:rPr>
            </w:pPr>
            <w:r>
              <w:rPr>
                <w:rFonts w:ascii="Times New Roman" w:cs="Times New Roman" w:eastAsia="Times New Roman" w:hAnsi="Times New Roman"/>
                <w:sz w:val="18"/>
                <w:szCs w:val="18"/>
                <w:color w:val="auto"/>
              </w:rPr>
              <w:t>Accrued</w:t>
            </w: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Intercompany</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liabilities and</w:t>
            </w:r>
          </w:p>
        </w:tc>
        <w:tc>
          <w:tcPr>
            <w:tcW w:w="120" w:type="dxa"/>
            <w:vAlign w:val="bottom"/>
          </w:tcPr>
          <w:p>
            <w:pPr>
              <w:spacing w:after="0"/>
              <w:rPr>
                <w:sz w:val="16"/>
                <w:szCs w:val="16"/>
                <w:color w:val="auto"/>
              </w:rPr>
            </w:pPr>
          </w:p>
        </w:tc>
        <w:tc>
          <w:tcPr>
            <w:tcW w:w="12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166.5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tcPr>
          <w:p>
            <w:pPr>
              <w:spacing w:after="0"/>
              <w:rPr>
                <w:sz w:val="16"/>
                <w:szCs w:val="16"/>
                <w:color w:val="auto"/>
              </w:rPr>
            </w:pPr>
          </w:p>
        </w:tc>
        <w:tc>
          <w:tcPr>
            <w:tcW w:w="1180" w:type="dxa"/>
            <w:vAlign w:val="bottom"/>
          </w:tcPr>
          <w:p>
            <w:pPr>
              <w:jc w:val="center"/>
              <w:ind w:left="31"/>
              <w:spacing w:after="0" w:line="189" w:lineRule="exact"/>
              <w:rPr>
                <w:sz w:val="20"/>
                <w:szCs w:val="20"/>
                <w:color w:val="auto"/>
              </w:rPr>
            </w:pPr>
            <w:r>
              <w:rPr>
                <w:rFonts w:ascii="Times New Roman" w:cs="Times New Roman" w:eastAsia="Times New Roman" w:hAnsi="Times New Roman"/>
                <w:sz w:val="18"/>
                <w:szCs w:val="18"/>
                <w:color w:val="auto"/>
                <w:w w:val="97"/>
              </w:rPr>
              <w:t>Assets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6"/>
                <w:szCs w:val="16"/>
                <w:color w:val="auto"/>
              </w:rPr>
            </w:pPr>
          </w:p>
        </w:tc>
        <w:tc>
          <w:tcPr>
            <w:tcW w:w="1400" w:type="dxa"/>
            <w:vAlign w:val="bottom"/>
          </w:tcPr>
          <w:p>
            <w:pPr>
              <w:jc w:val="center"/>
              <w:ind w:right="11"/>
              <w:spacing w:after="0" w:line="189" w:lineRule="exact"/>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16"/>
                <w:szCs w:val="16"/>
                <w:color w:val="auto"/>
              </w:rPr>
            </w:pP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13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loans</w:t>
            </w:r>
            <w:r>
              <w:rPr>
                <w:rFonts w:ascii="Times New Roman" w:cs="Times New Roman" w:eastAsia="Times New Roman" w:hAnsi="Times New Roman"/>
                <w:sz w:val="23"/>
                <w:szCs w:val="23"/>
                <w:color w:val="auto"/>
                <w:vertAlign w:val="superscript"/>
              </w:rPr>
              <w:t>(3)</w:t>
            </w: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Hedges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2,689.1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0" w:type="dxa"/>
            <w:vAlign w:val="bottom"/>
          </w:tcPr>
          <w:p>
            <w:pPr>
              <w:spacing w:after="0"/>
              <w:rPr>
                <w:sz w:val="1"/>
                <w:szCs w:val="1"/>
                <w:color w:val="auto"/>
              </w:rPr>
            </w:pP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forward foreign currency exchange contracts ("FC") designated as derivative instruments in cash flow hedging relationships.</w:t>
      </w:r>
    </w:p>
    <w:p>
      <w:pPr>
        <w:spacing w:after="0" w:line="89"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2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cross currency swap foreign exchange contracts ("CCS") and forward foreign exchange contracts ("FC") designated as derivative instruments in net investment hedging relationships.</w:t>
      </w:r>
    </w:p>
    <w:p>
      <w:pPr>
        <w:spacing w:after="0" w:line="60"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forward foreign currency exchange contracts ("FC") not designated as hedges.</w:t>
      </w:r>
    </w:p>
    <w:p>
      <w:pPr>
        <w:spacing w:after="0" w:line="89"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2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December 27, 2025, the Company recorded $15.8 million within Other Current Assets and $24.8 million within Other Assets. As of June 28, 2025, the Company recorded $15.6 million within Other Current Assets and $0.0 million within Other Assets.</w:t>
      </w:r>
    </w:p>
    <w:p>
      <w:pPr>
        <w:spacing w:after="0" w:line="90"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2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December 27, 2025, the Company recorded $5.7 million within Accrued Liabilities and $190.2 million within Other Liabilities. As of June 28, 2025, the Company recorded $6.9 million within Accrued Liabilities and $256.1 million within Other Liabilities.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pre-tax impact of gains and losses from the Company's designated derivative instruments on its Condensed Consolidated Financial Statements as of December 27, 2025 and December 28, 2024:</w:t>
      </w:r>
    </w:p>
    <w:p>
      <w:pPr>
        <w:spacing w:after="0" w:line="90"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8"/>
          <w:szCs w:val="18"/>
          <w:b w:val="1"/>
          <w:bCs w:val="1"/>
          <w:color w:val="auto"/>
        </w:rPr>
        <w:t>Amount of Gain (Loss) Recognized in OCI on</w:t>
      </w:r>
    </w:p>
    <w:p>
      <w:pPr>
        <w:spacing w:after="0" w:line="20"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1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3820" w:type="dxa"/>
            <w:vAlign w:val="bottom"/>
            <w:tcBorders>
              <w:top w:val="single" w:sz="8" w:color="auto"/>
              <w:bottom w:val="single" w:sz="8" w:color="auto"/>
            </w:tcBorders>
            <w:gridSpan w:val="6"/>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27, 2025</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December 28, 2024</w:t>
            </w: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300" w:type="dxa"/>
            <w:vAlign w:val="bottom"/>
            <w:gridSpan w:val="5"/>
          </w:tcPr>
          <w:p>
            <w:pPr>
              <w:jc w:val="right"/>
              <w:ind w:right="1630"/>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0" w:type="dxa"/>
            <w:vAlign w:val="bottom"/>
          </w:tcPr>
          <w:p>
            <w:pPr>
              <w:spacing w:after="0"/>
              <w:rPr>
                <w:sz w:val="1"/>
                <w:szCs w:val="1"/>
                <w:color w:val="auto"/>
              </w:rPr>
            </w:pPr>
          </w:p>
        </w:tc>
      </w:tr>
      <w:tr>
        <w:trPr>
          <w:trHeight w:val="236"/>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hedges:</w:t>
            </w:r>
          </w:p>
        </w:tc>
        <w:tc>
          <w:tcPr>
            <w:tcW w:w="2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Inventory purchases</w:t>
            </w:r>
            <w:r>
              <w:rPr>
                <w:rFonts w:ascii="Times New Roman" w:cs="Times New Roman" w:eastAsia="Times New Roman" w:hAnsi="Times New Roman"/>
                <w:sz w:val="23"/>
                <w:szCs w:val="23"/>
                <w:color w:val="auto"/>
                <w:vertAlign w:val="superscript"/>
              </w:rPr>
              <w:t>(1)</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27.7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1"/>
        </w:trPr>
        <w:tc>
          <w:tcPr>
            <w:tcW w:w="4220" w:type="dxa"/>
            <w:vAlign w:val="bottom"/>
            <w:tcBorders>
              <w:top w:val="single" w:sz="8" w:color="CCEEFF"/>
              <w:bottom w:val="single" w:sz="8" w:color="CCEEFF"/>
            </w:tcBorders>
            <w:gridSpan w:val="2"/>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b w:val="1"/>
                <w:bCs w:val="1"/>
                <w:color w:val="auto"/>
              </w:rPr>
              <w:t>Total cash flow hedges</w:t>
            </w:r>
          </w:p>
        </w:tc>
        <w:tc>
          <w:tcPr>
            <w:tcW w:w="23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20" w:type="dxa"/>
            <w:vAlign w:val="bottom"/>
            <w:gridSpan w:val="2"/>
            <w:vMerge w:val="continue"/>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Net investment hedges</w:t>
            </w:r>
            <w:r>
              <w:rPr>
                <w:rFonts w:ascii="Times New Roman" w:cs="Times New Roman" w:eastAsia="Times New Roman" w:hAnsi="Times New Roman"/>
                <w:sz w:val="23"/>
                <w:szCs w:val="23"/>
                <w:color w:val="auto"/>
                <w:vertAlign w:val="superscript"/>
              </w:rPr>
              <w:t>(3)</w:t>
            </w:r>
          </w:p>
        </w:tc>
        <w:tc>
          <w:tcPr>
            <w:tcW w:w="2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3"/>
        </w:trPr>
        <w:tc>
          <w:tcPr>
            <w:tcW w:w="4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other</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92.1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2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hedges</w:t>
            </w:r>
          </w:p>
        </w:tc>
        <w:tc>
          <w:tcPr>
            <w:tcW w:w="2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gridSpan w:val="2"/>
          </w:tcPr>
          <w:p>
            <w:pPr>
              <w:spacing w:after="0" w:line="20" w:lineRule="exact"/>
              <w:rPr>
                <w:sz w:val="1"/>
                <w:szCs w:val="1"/>
                <w:color w:val="auto"/>
              </w:rPr>
            </w:pPr>
          </w:p>
        </w:tc>
        <w:tc>
          <w:tcPr>
            <w:tcW w:w="17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020" w:type="dxa"/>
            <w:vAlign w:val="bottom"/>
            <w:gridSpan w:val="10"/>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Amount of Gain (Loss) Reclassified from Accumulated OCI into Income</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4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Statement of Operations</w:t>
            </w:r>
          </w:p>
        </w:tc>
        <w:tc>
          <w:tcPr>
            <w:tcW w:w="5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gridSpan w:val="6"/>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99"/>
        </w:trPr>
        <w:tc>
          <w:tcPr>
            <w:tcW w:w="21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4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218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2240" w:type="dxa"/>
            <w:vAlign w:val="bottom"/>
            <w:gridSpan w:val="3"/>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December 27, 2025</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December 28, 2024</w:t>
            </w: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gridSpan w:val="4"/>
          </w:tcPr>
          <w:p>
            <w:pPr>
              <w:jc w:val="center"/>
              <w:ind w:left="115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Cash flow hedges:</w:t>
            </w:r>
          </w:p>
        </w:tc>
        <w:tc>
          <w:tcPr>
            <w:tcW w:w="2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220" w:type="dxa"/>
            <w:vAlign w:val="bottom"/>
            <w:gridSpan w:val="2"/>
          </w:tcPr>
          <w:p>
            <w:pPr>
              <w:ind w:left="240"/>
              <w:spacing w:after="0" w:line="256" w:lineRule="exact"/>
              <w:rPr>
                <w:sz w:val="20"/>
                <w:szCs w:val="20"/>
                <w:color w:val="auto"/>
              </w:rPr>
            </w:pPr>
            <w:r>
              <w:rPr>
                <w:rFonts w:ascii="Times New Roman" w:cs="Times New Roman" w:eastAsia="Times New Roman" w:hAnsi="Times New Roman"/>
                <w:sz w:val="18"/>
                <w:szCs w:val="18"/>
                <w:color w:val="auto"/>
              </w:rPr>
              <w:t>Inventory purchases</w:t>
            </w:r>
            <w:r>
              <w:rPr>
                <w:rFonts w:ascii="Times New Roman" w:cs="Times New Roman" w:eastAsia="Times New Roman" w:hAnsi="Times New Roman"/>
                <w:sz w:val="23"/>
                <w:szCs w:val="23"/>
                <w:color w:val="auto"/>
                <w:vertAlign w:val="superscript"/>
              </w:rPr>
              <w:t>(1)</w:t>
            </w: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Cost of sales</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57"/>
        </w:trPr>
        <w:tc>
          <w:tcPr>
            <w:tcW w:w="4220" w:type="dxa"/>
            <w:vAlign w:val="bottom"/>
            <w:gridSpan w:val="2"/>
            <w:shd w:val="clear" w:color="auto" w:fill="CCEEFF"/>
          </w:tcPr>
          <w:p>
            <w:pPr>
              <w:ind w:left="240"/>
              <w:spacing w:after="0" w:line="256" w:lineRule="exact"/>
              <w:rPr>
                <w:sz w:val="20"/>
                <w:szCs w:val="20"/>
                <w:color w:val="auto"/>
              </w:rPr>
            </w:pPr>
            <w:r>
              <w:rPr>
                <w:rFonts w:ascii="Times New Roman" w:cs="Times New Roman" w:eastAsia="Times New Roman" w:hAnsi="Times New Roman"/>
                <w:sz w:val="18"/>
                <w:szCs w:val="18"/>
                <w:color w:val="auto"/>
              </w:rPr>
              <w:t>Interest rates</w:t>
            </w:r>
            <w:r>
              <w:rPr>
                <w:rFonts w:ascii="Times New Roman" w:cs="Times New Roman" w:eastAsia="Times New Roman" w:hAnsi="Times New Roman"/>
                <w:sz w:val="23"/>
                <w:szCs w:val="23"/>
                <w:color w:val="auto"/>
                <w:vertAlign w:val="superscript"/>
              </w:rPr>
              <w:t>(2)</w:t>
            </w:r>
          </w:p>
        </w:tc>
        <w:tc>
          <w:tcPr>
            <w:tcW w:w="2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Other income (expense)</w:t>
            </w:r>
          </w:p>
        </w:tc>
        <w:tc>
          <w:tcPr>
            <w:tcW w:w="54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cash flow hedges</w:t>
            </w:r>
          </w:p>
        </w:tc>
        <w:tc>
          <w:tcPr>
            <w:tcW w:w="2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10"/>
        </w:trPr>
        <w:tc>
          <w:tcPr>
            <w:tcW w:w="4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tcBorders>
              <w:bottom w:val="single" w:sz="8" w:color="CCEEFF"/>
            </w:tcBorders>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Net investment hedges</w:t>
            </w:r>
            <w:r>
              <w:rPr>
                <w:rFonts w:ascii="Times New Roman" w:cs="Times New Roman" w:eastAsia="Times New Roman" w:hAnsi="Times New Roman"/>
                <w:sz w:val="23"/>
                <w:szCs w:val="23"/>
                <w:color w:val="auto"/>
                <w:vertAlign w:val="superscript"/>
              </w:rPr>
              <w:t>(3)</w:t>
            </w:r>
          </w:p>
        </w:tc>
        <w:tc>
          <w:tcPr>
            <w:tcW w:w="24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Interest income (expense)</w:t>
            </w:r>
          </w:p>
        </w:tc>
        <w:tc>
          <w:tcPr>
            <w:tcW w:w="5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6"/>
        </w:trPr>
        <w:tc>
          <w:tcPr>
            <w:tcW w:w="4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other</w:t>
            </w:r>
          </w:p>
        </w:tc>
        <w:tc>
          <w:tcPr>
            <w:tcW w:w="2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3"/>
        </w:trPr>
        <w:tc>
          <w:tcPr>
            <w:tcW w:w="4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hedges</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180" w:type="dxa"/>
            <w:vAlign w:val="bottom"/>
            <w:tcBorders>
              <w:bottom w:val="single" w:sz="8" w:color="auto"/>
            </w:tcBorders>
          </w:tcPr>
          <w:p>
            <w:pPr>
              <w:spacing w:after="0"/>
              <w:rPr>
                <w:sz w:val="13"/>
                <w:szCs w:val="13"/>
                <w:color w:val="auto"/>
              </w:rPr>
            </w:pPr>
          </w:p>
        </w:tc>
        <w:tc>
          <w:tcPr>
            <w:tcW w:w="20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forward foreign currency exchange contracts ("FC") designated as derivative instruments in cash flow hedging relationships.</w:t>
      </w:r>
    </w:p>
    <w:p>
      <w:pPr>
        <w:spacing w:after="0" w:line="68" w:lineRule="exact"/>
        <w:rPr>
          <w:rFonts w:ascii="Times New Roman" w:cs="Times New Roman" w:eastAsia="Times New Roman" w:hAnsi="Times New Roman"/>
          <w:sz w:val="23"/>
          <w:szCs w:val="23"/>
          <w:color w:val="auto"/>
          <w:vertAlign w:val="superscript"/>
        </w:rPr>
      </w:pPr>
    </w:p>
    <w:p>
      <w:pPr>
        <w:ind w:left="320" w:hanging="312"/>
        <w:spacing w:after="0" w:line="231" w:lineRule="auto"/>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forward interest rate contracts ("IC") designated as derivative instruments in cash flow hedging relationships.</w:t>
      </w:r>
    </w:p>
    <w:p>
      <w:pPr>
        <w:spacing w:after="0" w:line="90" w:lineRule="exact"/>
        <w:rPr>
          <w:rFonts w:ascii="Times New Roman" w:cs="Times New Roman" w:eastAsia="Times New Roman" w:hAnsi="Times New Roman"/>
          <w:sz w:val="23"/>
          <w:szCs w:val="23"/>
          <w:color w:val="auto"/>
          <w:vertAlign w:val="superscript"/>
        </w:rPr>
      </w:pPr>
    </w:p>
    <w:p>
      <w:pPr>
        <w:jc w:val="both"/>
        <w:ind w:left="340" w:hanging="332"/>
        <w:spacing w:after="0" w:line="235" w:lineRule="auto"/>
        <w:tabs>
          <w:tab w:leader="none" w:pos="32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cross currency swap contracts ("CCS") and forward foreign exchange contracts ("FC") designated as derivative instruments in net investment hedging relationships, for which the difference between changes in fair value and periodic amortization of excluded components is recorded within AOCI.</w:t>
      </w:r>
    </w:p>
    <w:p>
      <w:pPr>
        <w:spacing w:after="0" w:line="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expects that $13.4 million of net derivative gain related to inventory purchases included in Accumulated other comprehensive income at December 27, 2025 will be reclassified into earnings within the next 12 months. This amount will vary due to fluctuations in foreign currency exchange rates.</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assesses the cross-currency swaps and forward exchange contracts used as net investment hedges under the spot method. This results in the cross-currency basis spread on the cross-currency swaps and the difference between the spot rate and the forward rate of the forward exchange contract being excluded from the assessment of hedge effectiveness, and recorded as incurred as a reduction in Interest expense, net in the Company’s Condensed Consolidated Statements of Operations. Accordingly, the Company recorded net interest income of $14.9 million and $15.7 million during the six months ended December 27, 2025 and December 28, 2024,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9. EARNINGS PER SHARE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Basic net income per share is calculated by dividing net income by the weighted-average number of shares outstanding during the period. Diluted net income per share is calculated similarly but includes potential dilution from the exercise of stock options and restricted stock units and any other potentially dilutive instruments, only in the periods in which such effects are dilutive under the treasury stock method.</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reconciliation of the weighted-average shares outstanding and calculation of basic and diluted earnings per share: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40" w:type="dxa"/>
            <w:vAlign w:val="bottom"/>
            <w:gridSpan w:val="5"/>
          </w:tcPr>
          <w:p>
            <w:pPr>
              <w:ind w:left="9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364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3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27, 2025</w:t>
            </w:r>
          </w:p>
        </w:tc>
        <w:tc>
          <w:tcPr>
            <w:tcW w:w="16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December 28, 2024</w:t>
            </w:r>
          </w:p>
        </w:tc>
        <w:tc>
          <w:tcPr>
            <w:tcW w:w="1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27, 2025</w:t>
            </w:r>
          </w:p>
        </w:tc>
        <w:tc>
          <w:tcPr>
            <w:tcW w:w="16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December 28, 2024</w:t>
            </w:r>
          </w:p>
        </w:tc>
      </w:tr>
      <w:tr>
        <w:trPr>
          <w:trHeight w:val="190"/>
        </w:trPr>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61"/>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basic shares</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securities:</w:t>
            </w: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diluted shares</w:t>
            </w: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229.3</w:t>
            </w: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4"/>
        </w:trPr>
        <w:tc>
          <w:tcPr>
            <w:tcW w:w="3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54"/>
        </w:trPr>
        <w:tc>
          <w:tcPr>
            <w:tcW w:w="3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54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2.68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3.93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2.17</w:t>
            </w: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Earnings per share amounts have been calculated based on unrounded numbers. Options to purchase shares of the Company's common stock at an exercise price greater than the average market price of the common stock during the reporting period are anti-dilutive and therefore not included in the computation of diluted net income (loss) per common share. In addition, the Company has outstanding restricted stock unit awards that are issuable only upon the achievement of certain performance goals. Performance-based restricted stock unit awards are included in the computation of diluted shares only to the extent that the underlying performance conditions and any applicable market condition modifiers (i) are satisfied as of the end of the reporting period or (ii) would be considered satisfied if the end of the reporting period were the end of the related contingency period and the result would be dilutive under the treasury stock method. As of December 27, 2025 and December 28, 2024, there were 0.6 million and 0.7 million, respectively, of additional shares issuable upon exercise of anti-dilutive options and contingent vesting of performance-based restricted stock unit awards, which were excluded from the diluted share calculations.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10. SHARE-BASED COMPENSATION</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share-based compensation expense and the related tax benefits recognized in the Company's Condensed Consolidated Statements of Operations for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0"/>
                <w:szCs w:val="20"/>
                <w:color w:val="auto"/>
              </w:rPr>
            </w:pPr>
          </w:p>
        </w:tc>
        <w:tc>
          <w:tcPr>
            <w:tcW w:w="276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69"/>
        </w:trPr>
        <w:tc>
          <w:tcPr>
            <w:tcW w:w="53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December 27,</w:t>
            </w: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114"/>
              <w:spacing w:after="0" w:line="169" w:lineRule="exact"/>
              <w:rPr>
                <w:sz w:val="20"/>
                <w:szCs w:val="20"/>
                <w:color w:val="auto"/>
              </w:rPr>
            </w:pPr>
            <w:r>
              <w:rPr>
                <w:rFonts w:ascii="Times New Roman" w:cs="Times New Roman" w:eastAsia="Times New Roman" w:hAnsi="Times New Roman"/>
                <w:sz w:val="18"/>
                <w:szCs w:val="18"/>
                <w:color w:val="auto"/>
              </w:rPr>
              <w:t>December 28,</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December 27,</w:t>
            </w: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December 28,</w:t>
            </w:r>
          </w:p>
        </w:tc>
      </w:tr>
      <w:tr>
        <w:trPr>
          <w:trHeight w:val="243"/>
        </w:trPr>
        <w:tc>
          <w:tcPr>
            <w:tcW w:w="5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70"/>
              <w:spacing w:after="0" w:line="243" w:lineRule="exact"/>
              <w:rPr>
                <w:sz w:val="20"/>
                <w:szCs w:val="20"/>
                <w:color w:val="auto"/>
              </w:rPr>
            </w:pPr>
            <w:r>
              <w:rPr>
                <w:rFonts w:ascii="Times New Roman" w:cs="Times New Roman" w:eastAsia="Times New Roman" w:hAnsi="Times New Roman"/>
                <w:sz w:val="18"/>
                <w:szCs w:val="18"/>
                <w:b w:val="1"/>
                <w:bCs w:val="1"/>
                <w:color w:val="auto"/>
              </w:rPr>
              <w:t>2025</w:t>
            </w:r>
            <w:r>
              <w:rPr>
                <w:rFonts w:ascii="Times New Roman" w:cs="Times New Roman" w:eastAsia="Times New Roman" w:hAnsi="Times New Roman"/>
                <w:sz w:val="23"/>
                <w:szCs w:val="23"/>
                <w:b w:val="1"/>
                <w:bCs w:val="1"/>
                <w:color w:val="auto"/>
                <w:vertAlign w:val="superscript"/>
              </w:rPr>
              <w:t>(1)</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90"/>
              <w:spacing w:after="0" w:line="243" w:lineRule="exact"/>
              <w:rPr>
                <w:sz w:val="20"/>
                <w:szCs w:val="20"/>
                <w:color w:val="auto"/>
              </w:rPr>
            </w:pPr>
            <w:r>
              <w:rPr>
                <w:rFonts w:ascii="Times New Roman" w:cs="Times New Roman" w:eastAsia="Times New Roman" w:hAnsi="Times New Roman"/>
                <w:sz w:val="18"/>
                <w:szCs w:val="18"/>
                <w:b w:val="1"/>
                <w:bCs w:val="1"/>
                <w:color w:val="auto"/>
              </w:rPr>
              <w:t>2025</w:t>
            </w:r>
            <w:r>
              <w:rPr>
                <w:rFonts w:ascii="Times New Roman" w:cs="Times New Roman" w:eastAsia="Times New Roman" w:hAnsi="Times New Roman"/>
                <w:sz w:val="23"/>
                <w:szCs w:val="23"/>
                <w:b w:val="1"/>
                <w:bCs w:val="1"/>
                <w:color w:val="auto"/>
                <w:vertAlign w:val="superscript"/>
              </w:rPr>
              <w:t>(1)</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r>
      <w:tr>
        <w:trPr>
          <w:trHeight w:val="190"/>
        </w:trPr>
        <w:tc>
          <w:tcPr>
            <w:tcW w:w="5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4"/>
          </w:tcPr>
          <w:p>
            <w:pPr>
              <w:jc w:val="right"/>
              <w:ind w:right="109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53.7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38"/>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related to share-based compensation expense</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10.6</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3798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331" w:lineRule="exact"/>
        <w:rPr>
          <w:sz w:val="20"/>
          <w:szCs w:val="20"/>
          <w:color w:val="auto"/>
        </w:rPr>
      </w:pPr>
    </w:p>
    <w:p>
      <w:pPr>
        <w:jc w:val="both"/>
        <w:ind w:left="340" w:hanging="332"/>
        <w:spacing w:after="0" w:line="239" w:lineRule="auto"/>
        <w:tabs>
          <w:tab w:leader="none" w:pos="32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three and six months ended December 27, 2025, the Company incurred $0.0 million and $0.4 million, respectively, of share-based compensation expense related to the modification of award terms in connection with the sale of the Stuart Weitzman Business as well as $0.6 million and $1.9 million, respectively, of share-based compensation expense related to its Organizational Efficiency Costs. Refer to Note 5, "Acquisitions and Divestitures" for further information.</w:t>
      </w:r>
    </w:p>
    <w:p>
      <w:pPr>
        <w:spacing w:after="0" w:line="86" w:lineRule="exact"/>
        <w:rPr>
          <w:rFonts w:ascii="Times New Roman" w:cs="Times New Roman" w:eastAsia="Times New Roman" w:hAnsi="Times New Roman"/>
          <w:sz w:val="23"/>
          <w:szCs w:val="23"/>
          <w:color w:val="auto"/>
          <w:vertAlign w:val="superscript"/>
        </w:rPr>
      </w:pPr>
    </w:p>
    <w:p>
      <w:pPr>
        <w:ind w:left="3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Stock Options</w:t>
      </w:r>
    </w:p>
    <w:p>
      <w:pPr>
        <w:spacing w:after="0" w:line="121" w:lineRule="exact"/>
        <w:rPr>
          <w:rFonts w:ascii="Times New Roman" w:cs="Times New Roman" w:eastAsia="Times New Roman" w:hAnsi="Times New Roman"/>
          <w:sz w:val="23"/>
          <w:szCs w:val="23"/>
          <w:color w:val="auto"/>
          <w:vertAlign w:val="superscript"/>
        </w:rPr>
      </w:pPr>
    </w:p>
    <w:p>
      <w:pPr>
        <w:ind w:left="3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 summary of stock option activity during the six months ended December 27, 2025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8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184"/>
        </w:trPr>
        <w:tc>
          <w:tcPr>
            <w:tcW w:w="9180" w:type="dxa"/>
            <w:vAlign w:val="bottom"/>
          </w:tcPr>
          <w:p>
            <w:pPr>
              <w:spacing w:after="0"/>
              <w:rPr>
                <w:sz w:val="16"/>
                <w:szCs w:val="16"/>
                <w:color w:val="auto"/>
              </w:rPr>
            </w:pPr>
          </w:p>
        </w:tc>
        <w:tc>
          <w:tcPr>
            <w:tcW w:w="20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Options</w:t>
            </w:r>
          </w:p>
        </w:tc>
      </w:tr>
      <w:tr>
        <w:trPr>
          <w:trHeight w:val="229"/>
        </w:trPr>
        <w:tc>
          <w:tcPr>
            <w:tcW w:w="9180" w:type="dxa"/>
            <w:vAlign w:val="bottom"/>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190"/>
        </w:trPr>
        <w:tc>
          <w:tcPr>
            <w:tcW w:w="918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6"/>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28, 2025</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r>
      <w:tr>
        <w:trPr>
          <w:trHeight w:val="230"/>
        </w:trPr>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Exercised</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r>
      <w:tr>
        <w:trPr>
          <w:trHeight w:val="230"/>
        </w:trPr>
        <w:tc>
          <w:tcPr>
            <w:tcW w:w="9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Forfeited or expired</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27, 2025</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six months ended December 27, 2025 and December 28, 2024 was $36.74 and $12.11, respectively. The fair value of each option grant is estimated on the date of grant using the Black-Scholes option pricing model and the following weighted-average assumptions: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2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December 27, 2025</w:t>
            </w:r>
          </w:p>
        </w:tc>
        <w:tc>
          <w:tcPr>
            <w:tcW w:w="2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December 28, 2024</w:t>
            </w:r>
          </w:p>
        </w:tc>
      </w:tr>
      <w:tr>
        <w:trPr>
          <w:trHeight w:val="223"/>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340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41.5 %</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40.9 %</w:t>
            </w: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3.9 %</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38"/>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5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1.4 %</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896"/>
        </w:trPr>
        <w:tc>
          <w:tcPr>
            <w:tcW w:w="3580" w:type="dxa"/>
            <w:vAlign w:val="bottom"/>
          </w:tcPr>
          <w:p>
            <w:pPr>
              <w:spacing w:after="0"/>
              <w:rPr>
                <w:sz w:val="24"/>
                <w:szCs w:val="24"/>
                <w:color w:val="auto"/>
              </w:rPr>
            </w:pPr>
          </w:p>
        </w:tc>
        <w:tc>
          <w:tcPr>
            <w:tcW w:w="340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19</w:t>
            </w: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Service-based Restricted Stock Unit Awards ("RSUs")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service-based RSU activity during the six months ended December 27, 2025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8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41"/>
        </w:trPr>
        <w:tc>
          <w:tcPr>
            <w:tcW w:w="918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Non-vested RSUs</w:t>
            </w:r>
          </w:p>
        </w:tc>
      </w:tr>
      <w:tr>
        <w:trPr>
          <w:trHeight w:val="192"/>
        </w:trPr>
        <w:tc>
          <w:tcPr>
            <w:tcW w:w="918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6"/>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28, 2025</w:t>
            </w:r>
          </w:p>
        </w:tc>
        <w:tc>
          <w:tcPr>
            <w:tcW w:w="2060" w:type="dxa"/>
            <w:vAlign w:val="bottom"/>
            <w:shd w:val="clear" w:color="auto" w:fill="CCEEFF"/>
          </w:tcPr>
          <w:p>
            <w:pPr>
              <w:jc w:val="center"/>
              <w:ind w:left="1592"/>
              <w:spacing w:after="0"/>
              <w:rPr>
                <w:sz w:val="20"/>
                <w:szCs w:val="20"/>
                <w:color w:val="auto"/>
              </w:rPr>
            </w:pPr>
            <w:r>
              <w:rPr>
                <w:rFonts w:ascii="Times New Roman" w:cs="Times New Roman" w:eastAsia="Times New Roman" w:hAnsi="Times New Roman"/>
                <w:sz w:val="18"/>
                <w:szCs w:val="18"/>
                <w:color w:val="auto"/>
                <w:w w:val="97"/>
              </w:rPr>
              <w:t>4.5</w:t>
            </w:r>
          </w:p>
        </w:tc>
      </w:tr>
      <w:tr>
        <w:trPr>
          <w:trHeight w:val="229"/>
        </w:trPr>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2060" w:type="dxa"/>
            <w:vAlign w:val="bottom"/>
          </w:tcPr>
          <w:p>
            <w:pPr>
              <w:jc w:val="center"/>
              <w:ind w:left="1592"/>
              <w:spacing w:after="0"/>
              <w:rPr>
                <w:sz w:val="20"/>
                <w:szCs w:val="20"/>
                <w:color w:val="auto"/>
              </w:rPr>
            </w:pPr>
            <w:r>
              <w:rPr>
                <w:rFonts w:ascii="Times New Roman" w:cs="Times New Roman" w:eastAsia="Times New Roman" w:hAnsi="Times New Roman"/>
                <w:sz w:val="18"/>
                <w:szCs w:val="18"/>
                <w:b w:val="1"/>
                <w:bCs w:val="1"/>
                <w:color w:val="auto"/>
                <w:w w:val="97"/>
              </w:rPr>
              <w:t>0.9</w:t>
            </w:r>
          </w:p>
        </w:tc>
      </w:tr>
      <w:tr>
        <w:trPr>
          <w:trHeight w:val="230"/>
        </w:trPr>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2060" w:type="dxa"/>
            <w:vAlign w:val="bottom"/>
            <w:shd w:val="clear" w:color="auto" w:fill="CCEEFF"/>
          </w:tcPr>
          <w:p>
            <w:pPr>
              <w:jc w:val="center"/>
              <w:ind w:left="1572"/>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229"/>
        </w:trPr>
        <w:tc>
          <w:tcPr>
            <w:tcW w:w="9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2060" w:type="dxa"/>
            <w:vAlign w:val="bottom"/>
            <w:tcBorders>
              <w:bottom w:val="single" w:sz="8" w:color="auto"/>
            </w:tcBorders>
          </w:tcPr>
          <w:p>
            <w:pPr>
              <w:jc w:val="center"/>
              <w:ind w:left="1572"/>
              <w:spacing w:after="0"/>
              <w:rPr>
                <w:sz w:val="20"/>
                <w:szCs w:val="20"/>
                <w:color w:val="auto"/>
              </w:rPr>
            </w:pPr>
            <w:r>
              <w:rPr>
                <w:rFonts w:ascii="Times New Roman" w:cs="Times New Roman" w:eastAsia="Times New Roman" w:hAnsi="Times New Roman"/>
                <w:sz w:val="18"/>
                <w:szCs w:val="18"/>
                <w:b w:val="1"/>
                <w:bCs w:val="1"/>
                <w:color w:val="auto"/>
              </w:rPr>
              <w:t>(0.2)</w:t>
            </w:r>
          </w:p>
        </w:tc>
      </w:tr>
      <w:tr>
        <w:trPr>
          <w:trHeight w:val="248"/>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December 27, 2025</w:t>
            </w:r>
          </w:p>
        </w:tc>
        <w:tc>
          <w:tcPr>
            <w:tcW w:w="2060" w:type="dxa"/>
            <w:vAlign w:val="bottom"/>
            <w:tcBorders>
              <w:bottom w:val="single" w:sz="8" w:color="auto"/>
            </w:tcBorders>
            <w:shd w:val="clear" w:color="auto" w:fill="CCEEFF"/>
          </w:tcPr>
          <w:p>
            <w:pPr>
              <w:jc w:val="center"/>
              <w:ind w:left="1592"/>
              <w:spacing w:after="0"/>
              <w:rPr>
                <w:sz w:val="20"/>
                <w:szCs w:val="20"/>
                <w:color w:val="auto"/>
              </w:rPr>
            </w:pPr>
            <w:r>
              <w:rPr>
                <w:rFonts w:ascii="Times New Roman" w:cs="Times New Roman" w:eastAsia="Times New Roman" w:hAnsi="Times New Roman"/>
                <w:sz w:val="18"/>
                <w:szCs w:val="18"/>
                <w:b w:val="1"/>
                <w:bCs w:val="1"/>
                <w:color w:val="auto"/>
                <w:w w:val="97"/>
              </w:rPr>
              <w:t>3.4</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of share awards granted during the six months ended December 27, 2025 and December 28, 2024 was $100.40 and $41.39, respectively.</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 Awards ("PRSUs")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PRSU activity during the six months ended December 27, 2025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8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41"/>
        </w:trPr>
        <w:tc>
          <w:tcPr>
            <w:tcW w:w="918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Non-vested PRSUs</w:t>
            </w:r>
          </w:p>
        </w:tc>
      </w:tr>
      <w:tr>
        <w:trPr>
          <w:trHeight w:val="192"/>
        </w:trPr>
        <w:tc>
          <w:tcPr>
            <w:tcW w:w="918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6"/>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28, 2025</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r>
      <w:tr>
        <w:trPr>
          <w:trHeight w:val="230"/>
        </w:trPr>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Change due to performance condition achievement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r>
      <w:tr>
        <w:trPr>
          <w:trHeight w:val="229"/>
        </w:trPr>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r>
      <w:tr>
        <w:trPr>
          <w:trHeight w:val="230"/>
        </w:trPr>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December 27, 2025</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20"/>
        </w:trPr>
        <w:tc>
          <w:tcPr>
            <w:tcW w:w="91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PRSU awards included in the non-vested amount are based on certain Company-specific financial metrics. The effect of the change due to performance condition on the non-vested amount is recognized at the conclusion of the performance period, which may differ from the date on which the award vests.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per share of PRSU awards granted during the six months ended December 27, 2025 and December 28, 2024 was $111.76 and $46.72,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11. DEBT</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24"/>
        </w:trPr>
        <w:tc>
          <w:tcPr>
            <w:tcW w:w="7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components of the Company’s outstanding debt:</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0"/>
        </w:trPr>
        <w:tc>
          <w:tcPr>
            <w:tcW w:w="218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27,</w:t>
            </w:r>
          </w:p>
        </w:tc>
        <w:tc>
          <w:tcPr>
            <w:tcW w:w="400" w:type="dxa"/>
            <w:vAlign w:val="bottom"/>
          </w:tcPr>
          <w:p>
            <w:pPr>
              <w:spacing w:after="0"/>
              <w:rPr>
                <w:sz w:val="24"/>
                <w:szCs w:val="24"/>
                <w:color w:val="auto"/>
              </w:rPr>
            </w:pP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June 28,</w:t>
            </w:r>
          </w:p>
        </w:tc>
      </w:tr>
      <w:tr>
        <w:trPr>
          <w:trHeight w:val="241"/>
        </w:trPr>
        <w:tc>
          <w:tcPr>
            <w:tcW w:w="21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r>
      <w:tr>
        <w:trPr>
          <w:trHeight w:val="192"/>
        </w:trPr>
        <w:tc>
          <w:tcPr>
            <w:tcW w:w="218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60" w:type="dxa"/>
            <w:vAlign w:val="bottom"/>
          </w:tcPr>
          <w:p>
            <w:pPr>
              <w:spacing w:after="0"/>
              <w:rPr>
                <w:sz w:val="16"/>
                <w:szCs w:val="16"/>
                <w:color w:val="auto"/>
              </w:rPr>
            </w:pPr>
          </w:p>
        </w:tc>
      </w:tr>
      <w:tr>
        <w:trPr>
          <w:trHeight w:val="236"/>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Debt:</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782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China Credit Facility</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48"/>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18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4.125% Senior Notes due 2027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396.6</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w:t>
            </w:r>
          </w:p>
        </w:tc>
      </w:tr>
      <w:tr>
        <w:trPr>
          <w:trHeight w:val="229"/>
        </w:trPr>
        <w:tc>
          <w:tcPr>
            <w:tcW w:w="7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5.100% Senior Notes due 2030</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9"/>
        </w:trPr>
        <w:tc>
          <w:tcPr>
            <w:tcW w:w="7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3.050% Senior Notes due 2032</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30"/>
        </w:trPr>
        <w:tc>
          <w:tcPr>
            <w:tcW w:w="7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5.500% Senior Notes due 2035</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3"/>
        </w:trPr>
        <w:tc>
          <w:tcPr>
            <w:tcW w:w="7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2,396.6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2,396.6</w:t>
            </w:r>
          </w:p>
        </w:tc>
      </w:tr>
      <w:tr>
        <w:trPr>
          <w:trHeight w:val="223"/>
        </w:trPr>
        <w:tc>
          <w:tcPr>
            <w:tcW w:w="7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Unamortized discount and debt issuance costs on senior notes</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3"/>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 net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2,379.3</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2,377.9</w:t>
            </w:r>
          </w:p>
        </w:tc>
      </w:tr>
      <w:tr>
        <w:trPr>
          <w:trHeight w:val="21"/>
        </w:trPr>
        <w:tc>
          <w:tcPr>
            <w:tcW w:w="21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69"/>
        </w:trPr>
        <w:tc>
          <w:tcPr>
            <w:tcW w:w="2180" w:type="dxa"/>
            <w:vAlign w:val="bottom"/>
            <w:tcBorders>
              <w:bottom w:val="single" w:sz="8" w:color="auto"/>
            </w:tcBorders>
          </w:tcPr>
          <w:p>
            <w:pPr>
              <w:spacing w:after="0"/>
              <w:rPr>
                <w:sz w:val="14"/>
                <w:szCs w:val="14"/>
                <w:color w:val="auto"/>
              </w:rPr>
            </w:pPr>
          </w:p>
        </w:tc>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r>
    </w:tbl>
    <w:p>
      <w:pPr>
        <w:spacing w:after="0" w:line="171" w:lineRule="exact"/>
        <w:rPr>
          <w:sz w:val="20"/>
          <w:szCs w:val="20"/>
          <w:color w:val="auto"/>
        </w:rPr>
      </w:pPr>
    </w:p>
    <w:p>
      <w:pPr>
        <w:ind w:left="340" w:hanging="332"/>
        <w:spacing w:after="0" w:line="229" w:lineRule="auto"/>
        <w:tabs>
          <w:tab w:leader="none" w:pos="32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amount outstanding under the China Credit Facility includes the impact of changes in the exchange rate of the United States Dollar against the Renminbi.</w:t>
      </w:r>
    </w:p>
    <w:p>
      <w:pPr>
        <w:spacing w:after="0" w:line="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December 27, 2025 the Company recognized interest expense related to the outstanding debt of $30.9 million and $61.0 million, respectively. During the three and six months ended December 28, 2024 the Company recognized interest expense related to the outstanding debt of $85.8 million and $209.0 million, respectively.</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December 27, 2025, there was no Loss on extinguishment of debt recognized. During the three and six months ended December 28, 2024, the Company recognized Loss on extinguishment of debt of $120.1 million primarily related to redemption premiums, as well as unamortized debt issuance costs and discounts, as a result of the redemption of the Capri Acquisition Senior Notes in the second quarter of fiscal 2025.</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$2.00 Billion Revolving Credit Facility</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22, 2025, the Company announced it entered into a definitive agreement to refinance and replace the Company's unsecured revolving facility dated May 11, 2022 (the "Existing Revolving Credit Facility") with a new revolving credit facility (the "Amended Revolving Credit Facility"), among the Company, as borrower, Bank of America, N.A., as administrative agent (the “Administrative Agent”), and a syndicate of banks and financial institutions (collectively, the “Lenders”), dated as of May 22, 2025. Under the Amended Revolving Credit Facility, the Lenders have made available to the Company a $2.00 billion unsecured revolving credit facility, including sub facilities for letters of credit, with a maturity date of May 22, 2030.</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Borrowings under the Amended Revolving Credit Facility bear interest at a rate per annum equal to, at the Company’s option, (i) for borrowings in U.S. Dollars, either (a) an alternate base rate or (b) a term secured overnight financing rate, (ii) for borrowings in Euros, the Euro Interbank Offered Rate,</w:t>
      </w:r>
    </w:p>
    <w:p>
      <w:pPr>
        <w:jc w:val="both"/>
        <w:ind w:firstLine="8"/>
        <w:spacing w:after="0" w:line="250" w:lineRule="auto"/>
        <w:tabs>
          <w:tab w:leader="none" w:pos="31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borrowings in Pounds Sterling, the Sterling Overnight Index Average Reference Rate and (iv) for borrowings in Japanese Yen, the Tokyo Interbank Offer Rate, plus, in each case, an applicable margin. The applicable margin will be adjusted by reference to a grid (the “Pricing Grid”) based on the ratio of</w:t>
      </w:r>
    </w:p>
    <w:p>
      <w:pPr>
        <w:jc w:val="both"/>
        <w:ind w:firstLine="8"/>
        <w:spacing w:after="0" w:line="253" w:lineRule="auto"/>
        <w:tabs>
          <w:tab w:leader="none" w:pos="26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debt (subject to reduction for certain debt incurred in connection with a pending acquisition or for debt being discharged, satisfied or defeased), to (b) consolidated EBITDAR (the “Gross Leverage Ratio”). Additionally, the Company will pay facility fees, calculated at a rate per annum determined in accordance with the Pricing Grid, on the full amount of the Amended Revolving Credit Facility, payable quarterly in arrears, and certain fees with respect to letters of credit that are issued.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Borrowings under the Amended Revolving Credit Facility may be used to finance the working capital needs, capital expenditures, permitted investments, share purchases, dividends and other general corporate purposes of the Company and its subsidiaries (which may include commercial paper back-up). During the second quarter of fiscal 2025, the Company executed $1.00 billion of borrowings under the Existing Revolving Credit Facility used to partially fund the share repurchases under the ASR Agreements and for general corporate purposes. Subsequently, on December 11, 2024, the Company issued $1.50 billion of senior unsecured notes (as defined below, the 2030 and 2035 Senior Notes) and the funds were partially used to repay the borrowings under the Existing Revolving Credit Facility on December 11, 2024. There were no outstanding borrowings on the Amended Revolving Credit Facility as of December 27, 2025.</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Term Loan Credit Agreement</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second quarter of fiscal 2025, the Company entered into a $750.0 million senior unsecured term loan facility pursuant to the Term Loan Credit Agreement (the “Term Loan Credit Agreement”) with Bank of America, N.A., as administrative agent, and the lenders party thereto, and appointed BofA Securities, Inc. and Morgan Stanley Senior Lending, Inc. as joint lead arrangers and joint bookrunners, used to partially fund the share repurchases under the ASR Agreements, and for general corporate purposes. Borrowings under the Term Loan Credit Agreement bore interest at a rate per annum equal to, at the Company's option, (i) an alternative base rate or (ii) a rate based on the forward-looking SOFR term rate administered by CME Group Benchmark Administration Limited (or any successor administrator satisfactory to the administrative agent). On November 26, 2024, the Company drew down in full the $750.0 million loan principal under the Term Loan Credit Agreement. The loan was due to mature six months after the date the loan was funded. Subsequently, the Company repaid the borrowings in two tranches with $250.0 million repaid on December 5, 2024 and $500.0 million repaid on December 11, 2024.</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11, 2024, the Company issued $1.50 billion of senior unsecured notes, consisting of $750.0 million aggregate principal amount of 5.100% senior unsecured notes due March 11, 2030 at 99.876% of par (the “5.100% Senior Notes due 2030”) and $750.0 million aggregate principal amount of 5.500% senior unsecured notes due March 11, 2035 at 99.864% of par (the “5.500% Senior Notes due 2035”, together with the 5.100% Senior Notes due 2030, the "2030 and 2035 Senior Notes"). The Company will pay interest semi-annually on the 2030 and 2035 Senior Notes on March 11 and September 11 of each year, commencing on September 11, 2025.</w:t>
      </w:r>
    </w:p>
    <w:p>
      <w:pPr>
        <w:spacing w:after="0" w:line="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March 2015, the Company issued $600.0 million aggregate principal amount of 4.250% senior unsecured notes due April 1, 2025 at 99.445% of par (the "4.250% Senior Notes due 2025"). In June 2017, the Company issued $600.0 million aggregate principal amount of 4.125% senior unsecured notes due July 15, 2027 at 99.858% of par (the "4.125% Senior Notes due 2027"). In December 2021, the Company completed a cash tender offer for $296.6 million and $203.4 million of the outstanding aggregate principal amount under its 4.250% Senior Notes due 2025 and 4.125% Senior Notes due 2027, respectively. In addition, in December 2021, the Company issued $500.0 million aggregate principal amount of 3.050% senior unsecured notes due March 15, 2032 at 99.705% of par (the "3.050% Senior Notes due 2032"). On April 1, 2025, the Company completed the redemption of $303.4 million remaining principal of the 4.250% Senior Notes due 2025.</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Commercial Paper Program</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24, 2025, the Company entered into a commercial paper borrowing program (the "Commercial Paper Program") that provides for the issuance of up to $2.00 billion of unsecured commercial paper notes with maturities up to 365 days. Borrowings under the Commercial Paper Program are supported by the Amended Revolving Credit Facility and may be used to support the Company's general corporate needs. The aggregate amount of borrowings outstanding under the Commercial Paper Program and Amended Revolving Credit Facility will not exceed $2.00 billion. As of December 27, 2025, the Company had no borrowings outstanding under the Commercial Paper Program.</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China Credit Facility</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May 20, 2024, the Company entered into a short-term credit facility (“China Credit Facility”) with Citibank, which may be used to fund general working capital needs, not to exceed 12 months, and is subject to annual renewal. The China Credit Facility provides the Company with a maximum facility amount of up to RMB 250.0 million (approximately $35.7 million), which includes a loan of up to RMB 85.0 million (approximately $12.1 million), a bank guarantee facility of up to RMB 15.0 million (approximately $2.2 million) and Accounts payable financing of up to RMB 150.0 million (approximately $21.4 million). Borrowings under the China Credit Facility bear interest at rates based on the People’s Bank of China Loan Prime Rate plus an applicable margin, as determined at the time of each drawdown. As of December 27, 2025, the Company had RMB 120.0 million ($17.1 million) of borrowings outstanding under this facility, which was recorded within Current debt on the Company's Condensed Consolidated Balance Sheets. The weighted-average interest rate on borrowings outstanding under the facility was 2.600% as of December 27, 2025.</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Capri Holdings Limited Acquisition Related Debt Transactions: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27, 2023, in order to finance the Capri Acquisition, the Company issued $4.50 billion of senior unsecured notes and €1.50 billion of Euro-denominated senior unsecured notes (the "Capri Acquisition Senior Notes") which, together with the $1.40 billion of delayed draw unsecured term loan facilities (the "Capri Acquisition Term Loan Facilities") executed on August 30, 2023, completed the expected financing for the Capri Acquisition.</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13, 2024, the Parties entered into a Termination Agreement, pursuant to which it was agreed that the Merger Agreement was terminated, effective immediately. On November 25, 2024, due to the termination of the Merger Agreement and pursuant to the terms of the Indenture, the Company redeemed all outstanding Capri Acquisition Senior Notes at a redemption price of 101% of the aggregate principal amount, plus accrued and unpaid interest to, but excluding, the date of redemption. In addition, the Capri Acquisition Term Loan Credit Agreement was terminated concurrently with the execution of the Termination Agreement on November 13, 2024. Refer to Note 5, "Acquisitions and Divestitures," for further information.</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redemption prior to their scheduled maturities, the Company was subject to redemption premiums of $61.2 million paid on the Capri Acquisition Senior Notes. Additionally, the Company recognized $55.0 million of unamortized debt issuance costs and discounts in connection with the redemption of the Capri Acquisition Senior Notes. These redemption premiums, as well as unamortized debt issuance costs and discounts, were recorded as a Loss on extinguishment of debt during the second quarter of fiscal 2025.</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Debt Covenants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our debt facilities, we must comply with certain restrictions limiting the Company’s ability to among other things: (i) incur certain indebtedness, (ii) create certain liens, (iii) enter into certain sale and leaseback transactions, (iv) make certain investments or payments and (v) merge, or consolidate or transfer, sell or lease all or substantially all of the Company’s assets.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Amended Revolving Credit Facility, we are required to comply on a quarterly basis with a maximum net leverage ratio of 4.00:1.00, which may be increased to 4.50:1.00 following the consummation of a material acquisition, subject to certain limitations set forth in the Amended Revolving Credit Facility. As of December 27, 2025, we were in compliance with these restrictions and covenants, have met such financial ratios and have met all debt payment obligations.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Considerations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estimated fair values of the senior unsecured notes at December 27, 2025 and June 28,</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2025 based on external pricing data, including available quoted market prices of the instruments, and consideration of comparable debt instruments with similar interest rates and trading frequency, among other factors, and are classified as Level 2 measurements within the fair value hierarchy:</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December 27,</w:t>
            </w:r>
          </w:p>
        </w:tc>
        <w:tc>
          <w:tcPr>
            <w:tcW w:w="42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June 28,</w:t>
            </w:r>
          </w:p>
        </w:tc>
      </w:tr>
      <w:tr>
        <w:trPr>
          <w:trHeight w:val="241"/>
        </w:trPr>
        <w:tc>
          <w:tcPr>
            <w:tcW w:w="40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0"/>
                <w:szCs w:val="20"/>
                <w:color w:val="auto"/>
              </w:rPr>
            </w:pPr>
          </w:p>
        </w:tc>
      </w:tr>
      <w:tr>
        <w:trPr>
          <w:trHeight w:val="192"/>
        </w:trPr>
        <w:tc>
          <w:tcPr>
            <w:tcW w:w="40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6"/>
        </w:trPr>
        <w:tc>
          <w:tcPr>
            <w:tcW w:w="4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4.125% Senior Notes due 2027</w:t>
            </w:r>
          </w:p>
        </w:tc>
        <w:tc>
          <w:tcPr>
            <w:tcW w:w="4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396.1</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20" w:type="dxa"/>
            <w:vAlign w:val="bottom"/>
          </w:tcPr>
          <w:p>
            <w:pPr>
              <w:spacing w:after="0"/>
              <w:rPr>
                <w:sz w:val="20"/>
                <w:szCs w:val="20"/>
                <w:color w:val="auto"/>
              </w:rPr>
            </w:pPr>
          </w:p>
        </w:tc>
      </w:tr>
      <w:tr>
        <w:trPr>
          <w:trHeight w:val="229"/>
        </w:trPr>
        <w:tc>
          <w:tcPr>
            <w:tcW w:w="4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5.100% Senior Notes due 2030</w:t>
            </w:r>
          </w:p>
        </w:tc>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770.1</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756.8</w:t>
            </w:r>
          </w:p>
        </w:tc>
        <w:tc>
          <w:tcPr>
            <w:tcW w:w="20" w:type="dxa"/>
            <w:vAlign w:val="bottom"/>
          </w:tcPr>
          <w:p>
            <w:pPr>
              <w:spacing w:after="0"/>
              <w:rPr>
                <w:sz w:val="19"/>
                <w:szCs w:val="19"/>
                <w:color w:val="auto"/>
              </w:rPr>
            </w:pPr>
          </w:p>
        </w:tc>
      </w:tr>
      <w:tr>
        <w:trPr>
          <w:trHeight w:val="230"/>
        </w:trPr>
        <w:tc>
          <w:tcPr>
            <w:tcW w:w="4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3.050% Senior Notes due 2032</w:t>
            </w:r>
          </w:p>
        </w:tc>
        <w:tc>
          <w:tcPr>
            <w:tcW w:w="3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456.4</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20" w:type="dxa"/>
            <w:vAlign w:val="bottom"/>
          </w:tcPr>
          <w:p>
            <w:pPr>
              <w:spacing w:after="0"/>
              <w:rPr>
                <w:sz w:val="19"/>
                <w:szCs w:val="19"/>
                <w:color w:val="auto"/>
              </w:rPr>
            </w:pPr>
          </w:p>
        </w:tc>
      </w:tr>
      <w:tr>
        <w:trPr>
          <w:trHeight w:val="238"/>
        </w:trPr>
        <w:tc>
          <w:tcPr>
            <w:tcW w:w="4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5.500% Senior Notes due 2035</w:t>
            </w:r>
          </w:p>
        </w:tc>
        <w:tc>
          <w:tcPr>
            <w:tcW w:w="3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769.9</w:t>
            </w:r>
          </w:p>
        </w:tc>
        <w:tc>
          <w:tcPr>
            <w:tcW w:w="4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748.2</w:t>
            </w:r>
          </w:p>
        </w:tc>
        <w:tc>
          <w:tcPr>
            <w:tcW w:w="20" w:type="dxa"/>
            <w:vAlign w:val="bottom"/>
          </w:tcPr>
          <w:p>
            <w:pPr>
              <w:spacing w:after="0"/>
              <w:rPr>
                <w:sz w:val="20"/>
                <w:szCs w:val="20"/>
                <w:color w:val="auto"/>
              </w:rPr>
            </w:pPr>
          </w:p>
        </w:tc>
      </w:tr>
      <w:tr>
        <w:trPr>
          <w:trHeight w:val="896"/>
        </w:trPr>
        <w:tc>
          <w:tcPr>
            <w:tcW w:w="4020" w:type="dxa"/>
            <w:vAlign w:val="bottom"/>
          </w:tcPr>
          <w:p>
            <w:pPr>
              <w:spacing w:after="0"/>
              <w:rPr>
                <w:sz w:val="24"/>
                <w:szCs w:val="24"/>
                <w:color w:val="auto"/>
              </w:rPr>
            </w:pPr>
          </w:p>
        </w:tc>
        <w:tc>
          <w:tcPr>
            <w:tcW w:w="388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categorizes its assets and liabilities, based on the priority of the inputs to the valuation technique, into a three-level fair value hierarchy as set forth below. The three levels of the hierarchy are defined as follows: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Unadjusted quoted prices in active markets for identical assets or liabilities.</w:t>
      </w:r>
    </w:p>
    <w:p>
      <w:pPr>
        <w:spacing w:after="0" w:line="11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quoted prices included in Level 1. Level 2 inputs include quoted prices for identical assets or liabilities in non-active markets, quoted prices for similar assets or liabilities in active markets and inputs other than quoted prices that are observable for substantially the full term of the asset or liability.</w:t>
      </w:r>
    </w:p>
    <w:p>
      <w:pPr>
        <w:spacing w:after="0" w:line="68"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Level 3 — Unobservable inputs reflecting management’s own assumptions about the input used in pricing the asset or liability. The Company does not have any Level 3 investments.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fair value measurements of the Company’s financial assets and liabilities at December 27, 2025 and June 28,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December 27,</w:t>
            </w:r>
          </w:p>
        </w:tc>
        <w:tc>
          <w:tcPr>
            <w:tcW w:w="400" w:type="dxa"/>
            <w:vAlign w:val="bottom"/>
          </w:tcPr>
          <w:p>
            <w:pPr>
              <w:spacing w:after="0"/>
              <w:rPr>
                <w:sz w:val="14"/>
                <w:szCs w:val="14"/>
                <w:color w:val="auto"/>
              </w:rPr>
            </w:pPr>
          </w:p>
        </w:tc>
        <w:tc>
          <w:tcPr>
            <w:tcW w:w="1120" w:type="dxa"/>
            <w:vAlign w:val="bottom"/>
          </w:tcPr>
          <w:p>
            <w:pPr>
              <w:jc w:val="right"/>
              <w:ind w:right="332"/>
              <w:spacing w:after="0" w:line="169" w:lineRule="exact"/>
              <w:rPr>
                <w:sz w:val="20"/>
                <w:szCs w:val="20"/>
                <w:color w:val="auto"/>
              </w:rPr>
            </w:pPr>
            <w:r>
              <w:rPr>
                <w:rFonts w:ascii="Times New Roman" w:cs="Times New Roman" w:eastAsia="Times New Roman" w:hAnsi="Times New Roman"/>
                <w:sz w:val="18"/>
                <w:szCs w:val="18"/>
                <w:color w:val="auto"/>
              </w:rPr>
              <w:t>June 28,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tcPr>
          <w:p>
            <w:pPr>
              <w:jc w:val="right"/>
              <w:ind w:right="550"/>
              <w:spacing w:after="0" w:line="169" w:lineRule="exact"/>
              <w:rPr>
                <w:sz w:val="20"/>
                <w:szCs w:val="20"/>
                <w:color w:val="auto"/>
              </w:rPr>
            </w:pPr>
            <w:r>
              <w:rPr>
                <w:rFonts w:ascii="Times New Roman" w:cs="Times New Roman" w:eastAsia="Times New Roman" w:hAnsi="Times New Roman"/>
                <w:sz w:val="18"/>
                <w:szCs w:val="18"/>
                <w:b w:val="1"/>
                <w:bCs w:val="1"/>
                <w:color w:val="auto"/>
              </w:rPr>
              <w:t>December 27,</w:t>
            </w:r>
          </w:p>
        </w:tc>
        <w:tc>
          <w:tcPr>
            <w:tcW w:w="1120" w:type="dxa"/>
            <w:vAlign w:val="bottom"/>
          </w:tcPr>
          <w:p>
            <w:pPr>
              <w:jc w:val="right"/>
              <w:ind w:right="330"/>
              <w:spacing w:after="0" w:line="169" w:lineRule="exact"/>
              <w:rPr>
                <w:sz w:val="20"/>
                <w:szCs w:val="20"/>
                <w:color w:val="auto"/>
              </w:rPr>
            </w:pPr>
            <w:r>
              <w:rPr>
                <w:rFonts w:ascii="Times New Roman" w:cs="Times New Roman" w:eastAsia="Times New Roman" w:hAnsi="Times New Roman"/>
                <w:sz w:val="18"/>
                <w:szCs w:val="18"/>
                <w:color w:val="auto"/>
              </w:rPr>
              <w:t>June 28,</w:t>
            </w:r>
          </w:p>
        </w:tc>
      </w:tr>
      <w:tr>
        <w:trPr>
          <w:trHeight w:val="241"/>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192"/>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20" w:type="dxa"/>
            <w:vAlign w:val="bottom"/>
            <w:gridSpan w:val="4"/>
          </w:tcPr>
          <w:p>
            <w:pPr>
              <w:jc w:val="right"/>
              <w:ind w:right="155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20" w:type="dxa"/>
            <w:vAlign w:val="bottom"/>
          </w:tcPr>
          <w:p>
            <w:pPr>
              <w:spacing w:after="0"/>
              <w:rPr>
                <w:sz w:val="16"/>
                <w:szCs w:val="16"/>
                <w:color w:val="auto"/>
              </w:rPr>
            </w:pPr>
          </w:p>
        </w:tc>
      </w:tr>
      <w:tr>
        <w:trPr>
          <w:trHeight w:val="236"/>
        </w:trPr>
        <w:tc>
          <w:tcPr>
            <w:tcW w:w="20" w:type="dxa"/>
            <w:vAlign w:val="bottom"/>
            <w:shd w:val="clear" w:color="auto" w:fill="CCEEFF"/>
          </w:tcPr>
          <w:p>
            <w:pPr>
              <w:spacing w:after="0"/>
              <w:rPr>
                <w:sz w:val="20"/>
                <w:szCs w:val="20"/>
                <w:color w:val="auto"/>
              </w:rPr>
            </w:pPr>
          </w:p>
        </w:tc>
        <w:tc>
          <w:tcPr>
            <w:tcW w:w="5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5040" w:type="dxa"/>
            <w:vAlign w:val="bottom"/>
            <w:gridSpan w:val="5"/>
          </w:tcPr>
          <w:p>
            <w:pPr>
              <w:spacing w:after="0" w:line="230" w:lineRule="exact"/>
              <w:rPr>
                <w:sz w:val="20"/>
                <w:szCs w:val="20"/>
                <w:color w:val="auto"/>
              </w:rPr>
            </w:pPr>
            <w:r>
              <w:rPr>
                <w:rFonts w:ascii="Times New Roman" w:cs="Times New Roman" w:eastAsia="Times New Roman" w:hAnsi="Times New Roman"/>
                <w:sz w:val="18"/>
                <w:szCs w:val="18"/>
                <w:color w:val="auto"/>
              </w:rPr>
              <w:t>Cash equivalents</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196.9</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shd w:val="clear" w:color="auto" w:fill="CCEEFF"/>
          </w:tcPr>
          <w:p>
            <w:pPr>
              <w:spacing w:after="0"/>
              <w:rPr>
                <w:sz w:val="18"/>
                <w:szCs w:val="18"/>
                <w:color w:val="auto"/>
              </w:rPr>
            </w:pPr>
          </w:p>
        </w:tc>
        <w:tc>
          <w:tcPr>
            <w:tcW w:w="504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68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360" w:type="dxa"/>
            <w:vAlign w:val="bottom"/>
            <w:tcBorders>
              <w:top w:val="single" w:sz="8" w:color="CCEEFF"/>
            </w:tcBorders>
            <w:gridSpan w:val="2"/>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tcPr>
          <w:p>
            <w:pPr>
              <w:spacing w:after="0"/>
              <w:rPr>
                <w:sz w:val="19"/>
                <w:szCs w:val="19"/>
                <w:color w:val="auto"/>
              </w:rPr>
            </w:pPr>
          </w:p>
        </w:tc>
        <w:tc>
          <w:tcPr>
            <w:tcW w:w="1740" w:type="dxa"/>
            <w:vAlign w:val="bottom"/>
            <w:tcBorders>
              <w:top w:val="single" w:sz="8" w:color="CCEEFF"/>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24.4</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0"/>
        </w:trPr>
        <w:tc>
          <w:tcPr>
            <w:tcW w:w="20" w:type="dxa"/>
            <w:vAlign w:val="bottom"/>
            <w:shd w:val="clear" w:color="auto" w:fill="CCEEFF"/>
          </w:tcPr>
          <w:p>
            <w:pPr>
              <w:spacing w:after="0"/>
              <w:rPr>
                <w:sz w:val="18"/>
                <w:szCs w:val="18"/>
                <w:color w:val="auto"/>
              </w:rPr>
            </w:pPr>
          </w:p>
        </w:tc>
        <w:tc>
          <w:tcPr>
            <w:tcW w:w="504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Long-term investments: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68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360" w:type="dxa"/>
            <w:vAlign w:val="bottom"/>
            <w:tcBorders>
              <w:top w:val="single" w:sz="8" w:color="CCEEFF"/>
            </w:tcBorders>
            <w:gridSpan w:val="2"/>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tcPr>
          <w:p>
            <w:pPr>
              <w:spacing w:after="0"/>
              <w:rPr>
                <w:sz w:val="19"/>
                <w:szCs w:val="19"/>
                <w:color w:val="auto"/>
              </w:rPr>
            </w:pPr>
          </w:p>
        </w:tc>
        <w:tc>
          <w:tcPr>
            <w:tcW w:w="1740" w:type="dxa"/>
            <w:vAlign w:val="bottom"/>
            <w:tcBorders>
              <w:top w:val="single" w:sz="8" w:color="CCEEFF"/>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189"/>
        </w:trPr>
        <w:tc>
          <w:tcPr>
            <w:tcW w:w="20" w:type="dxa"/>
            <w:vAlign w:val="bottom"/>
            <w:shd w:val="clear" w:color="auto" w:fill="CCEEFF"/>
          </w:tcPr>
          <w:p>
            <w:pPr>
              <w:spacing w:after="0"/>
              <w:rPr>
                <w:sz w:val="16"/>
                <w:szCs w:val="16"/>
                <w:color w:val="auto"/>
              </w:rPr>
            </w:pPr>
          </w:p>
        </w:tc>
        <w:tc>
          <w:tcPr>
            <w:tcW w:w="504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Derivative assets:</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5"/>
          </w:tcPr>
          <w:p>
            <w:pPr>
              <w:ind w:left="200"/>
              <w:spacing w:after="0" w:line="230" w:lineRule="exact"/>
              <w:rPr>
                <w:sz w:val="20"/>
                <w:szCs w:val="20"/>
                <w:color w:val="auto"/>
              </w:rPr>
            </w:pPr>
            <w:r>
              <w:rPr>
                <w:rFonts w:ascii="Times New Roman" w:cs="Times New Roman" w:eastAsia="Times New Roman" w:hAnsi="Times New Roman"/>
                <w:sz w:val="18"/>
                <w:szCs w:val="18"/>
                <w:color w:val="auto"/>
              </w:rPr>
              <w:t>Inventory-related instruments</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5"/>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Net investment hedges</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40.6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0"/>
        </w:trPr>
        <w:tc>
          <w:tcPr>
            <w:tcW w:w="20" w:type="dxa"/>
            <w:vAlign w:val="bottom"/>
          </w:tcPr>
          <w:p>
            <w:pPr>
              <w:spacing w:after="0"/>
              <w:rPr>
                <w:sz w:val="19"/>
                <w:szCs w:val="19"/>
                <w:color w:val="auto"/>
              </w:rPr>
            </w:pPr>
          </w:p>
        </w:tc>
        <w:tc>
          <w:tcPr>
            <w:tcW w:w="5040" w:type="dxa"/>
            <w:vAlign w:val="bottom"/>
            <w:gridSpan w:val="5"/>
          </w:tcPr>
          <w:p>
            <w:pPr>
              <w:ind w:left="200"/>
              <w:spacing w:after="0" w:line="230" w:lineRule="exact"/>
              <w:rPr>
                <w:sz w:val="20"/>
                <w:szCs w:val="20"/>
                <w:color w:val="auto"/>
              </w:rPr>
            </w:pPr>
            <w:r>
              <w:rPr>
                <w:rFonts w:ascii="Times New Roman" w:cs="Times New Roman" w:eastAsia="Times New Roman" w:hAnsi="Times New Roman"/>
                <w:sz w:val="18"/>
                <w:szCs w:val="18"/>
                <w:color w:val="auto"/>
              </w:rPr>
              <w:t>Intercompany loans and payables</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504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Derivative liabilities:</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5"/>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Inventory-related instruments</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6.3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20" w:type="dxa"/>
            <w:vAlign w:val="bottom"/>
          </w:tcPr>
          <w:p>
            <w:pPr>
              <w:spacing w:after="0"/>
              <w:rPr>
                <w:sz w:val="19"/>
                <w:szCs w:val="19"/>
                <w:color w:val="auto"/>
              </w:rPr>
            </w:pPr>
          </w:p>
        </w:tc>
        <w:tc>
          <w:tcPr>
            <w:tcW w:w="5040" w:type="dxa"/>
            <w:vAlign w:val="bottom"/>
            <w:gridSpan w:val="5"/>
          </w:tcPr>
          <w:p>
            <w:pPr>
              <w:ind w:left="200"/>
              <w:spacing w:after="0" w:line="230" w:lineRule="exact"/>
              <w:rPr>
                <w:sz w:val="20"/>
                <w:szCs w:val="20"/>
                <w:color w:val="auto"/>
              </w:rPr>
            </w:pPr>
            <w:r>
              <w:rPr>
                <w:rFonts w:ascii="Times New Roman" w:cs="Times New Roman" w:eastAsia="Times New Roman" w:hAnsi="Times New Roman"/>
                <w:sz w:val="18"/>
                <w:szCs w:val="18"/>
                <w:color w:val="auto"/>
              </w:rPr>
              <w:t>Net investment hedges</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195.9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w:t>
            </w: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5"/>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Intercompany loans and payables</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175"/>
        </w:trPr>
        <w:tc>
          <w:tcPr>
            <w:tcW w:w="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120" w:type="dxa"/>
            <w:vAlign w:val="bottom"/>
          </w:tcPr>
          <w:p>
            <w:pPr>
              <w:spacing w:after="0"/>
              <w:rPr>
                <w:sz w:val="15"/>
                <w:szCs w:val="15"/>
                <w:color w:val="auto"/>
              </w:rPr>
            </w:pPr>
          </w:p>
        </w:tc>
      </w:tr>
    </w:tbl>
    <w:p>
      <w:pPr>
        <w:spacing w:after="0" w:line="171" w:lineRule="exact"/>
        <w:rPr>
          <w:sz w:val="20"/>
          <w:szCs w:val="20"/>
          <w:color w:val="auto"/>
        </w:rPr>
      </w:pPr>
    </w:p>
    <w:p>
      <w:pPr>
        <w:ind w:left="340" w:right="20" w:hanging="332"/>
        <w:spacing w:after="0" w:line="229" w:lineRule="auto"/>
        <w:tabs>
          <w:tab w:leader="none" w:pos="32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equivalents generally consist of money market funds and time deposits with maturities of three months or less at the date of purchase. Due to their short-term maturity, management believes that their carrying value approximates fair value.</w:t>
      </w:r>
    </w:p>
    <w:p>
      <w:pPr>
        <w:spacing w:after="0" w:line="90" w:lineRule="exact"/>
        <w:rPr>
          <w:rFonts w:ascii="Times New Roman" w:cs="Times New Roman" w:eastAsia="Times New Roman" w:hAnsi="Times New Roman"/>
          <w:sz w:val="23"/>
          <w:szCs w:val="23"/>
          <w:color w:val="auto"/>
          <w:vertAlign w:val="superscript"/>
        </w:rPr>
      </w:pPr>
    </w:p>
    <w:p>
      <w:pPr>
        <w:ind w:left="340" w:right="20" w:hanging="332"/>
        <w:spacing w:after="0" w:line="229" w:lineRule="auto"/>
        <w:tabs>
          <w:tab w:leader="none" w:pos="32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fair value of these hedges is primarily based on the forward curves of the specific indices upon which settlement is based and includes an adjustment for the counterparty’s or Company’s credit risk.</w:t>
      </w:r>
    </w:p>
    <w:p>
      <w:pPr>
        <w:spacing w:after="0" w:line="90" w:lineRule="exact"/>
        <w:rPr>
          <w:rFonts w:ascii="Times New Roman" w:cs="Times New Roman" w:eastAsia="Times New Roman" w:hAnsi="Times New Roman"/>
          <w:sz w:val="23"/>
          <w:szCs w:val="23"/>
          <w:color w:val="auto"/>
          <w:vertAlign w:val="superscript"/>
        </w:rPr>
      </w:pPr>
    </w:p>
    <w:p>
      <w:pPr>
        <w:ind w:left="3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Refer to Note 11, "Debt," for the fair value of the Company's outstanding debt instruments.</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assets and liabilities described above, the Company held $6.3 million of equity securities at December 27, 2025 without readily determinable fair values. As such, the Company has elected to measure these securities at cost less impairment as a practical expedient to estimating fair value, and has excluded these securities from the table above.</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Non-Financial Assets and Liabilities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non-financial instruments, which primarily consist of goodwill, intangible assets, right-of-use assets and property and equipment, are not required to be measured at fair value on a recurring basis and are reported at carrying value. However, on a periodic basis whenever events or changes in circumstances indicate that their carrying value may not be fully recoverable (and at least annually for goodwill and indefinite-lived intangible assets), non-financial instruments are assessed for impairment and, if applicable, written-down to and recorded at fair value, considering market participant assumptions.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impairment charges recorded during the three and six months ended December 27, 2025 and December 28, 2024.</w:t>
      </w:r>
    </w:p>
    <w:p>
      <w:pPr>
        <w:spacing w:after="0" w:line="1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effective tax rate for the three and six months ended December 27, 2025 was 19.5% and 17.7%, respectively. The Company's effective tax rate for the three and six months ended December 28, 2024 was 10.1% and 13.0%, respectively. The increase in effective tax rate for the three months ended December 27, 2025 as compared to the three months ended December 28, 2024 was primarily attributable to the impact of discrete items compared to the prior year period, geographical mix of earnings and the impact of the Pillar Two Global Anti-Base Erosion Rules ("Pillar Two"). The increase in effective tax rate for the six months ended December 27, 2025 as compared to the six months ended December 28, 2024 was primarily attributable to the impact of discrete items compared to the prior year period, geographical mix of earnings and the impact of Pillar Two.</w:t>
      </w:r>
    </w:p>
    <w:p>
      <w:pPr>
        <w:spacing w:after="0" w:line="1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had standby letters of credit, surety bonds and bank guarantees totaling $28.2 million and $26.5 million outstanding at December 27, 2025 and June 28, 2025, respectively. The agreements, which expire at various dates through calendar 2039, primarily collateralize the Company's obligation to third parties for duty, leases, insurance claims and materials used in product manufacturing. The Company pays certain fees with respect to these instruments that are issued.</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had other contractual cash obligations as of December 27, 2025 related to debt repayments. Refer to Note 11, "Debt," for further information.</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involved in various routine legal proceedings as both plaintiff and defendant incident to the ordinary course of its business, including proceedings to protect Tapestry's intellectual property rights, litigation instituted by persons alleged to have been injured by advertising claims or upon premises within the Company’s control, contract disputes, insurance claims and litigation, including wage and hour litigation, with present or former employees.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Although the Company's litigation can result in large monetary awards, such as when a civil jury is allowed to determine compensatory and/or punitive damages, the Company believes that the outcome of all pending legal proceedings in the aggregate will not have a material effect on the Company's business or consolidated financial statements. There have been no material developments with respect to any previously reported proceedings.</w:t>
      </w:r>
    </w:p>
    <w:p>
      <w:pPr>
        <w:spacing w:after="0" w:line="6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Following the previously disclosed termination of the proposed Merger Agreement, dated August 10, 2023, by and among the Company, Merger Sub and Capri, pursuant to which, among other things, Merger Sub would merge with and into Capri (the "Merger") with Capri surviving the Merger and continuing as a wholly owned subsidiary of the Company ("the Capri Acquisition") two separate putative securities class actions were filed on December 23, 2024 and January 28, 2025, by plaintiff shareholders in the United States District Court for the District of Delaware against Capri and certain of its officers and against Tapestry and certain of its officers, alleging that during the respective class periods (between August 10, 2023 and October 24, 2024), Capri and Tapestry misrepresented and failed to disclose adverse facts about Capri’s business, operations, market dynamics, and the prospects for approval of the Capri Acquisition, which were known to defendants or recklessly disregarded by them. The complaints, which each allege violations of sections 10(b) and 20(a) of the Securities Exchange Act of 1934 and rule 10b-5 promulgated thereunder, seek unspecified compensatory damages, costs and expenses, and equitable relief. On July 14, 2025, the Company moved to dismiss the complaint. The Company intends to vigorously defend itself in these matters.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two reportable segments:</w:t>
      </w:r>
    </w:p>
    <w:p>
      <w:pPr>
        <w:spacing w:after="0" w:line="11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Coach </w:t>
      </w:r>
      <w:r>
        <w:rPr>
          <w:rFonts w:ascii="Times New Roman" w:cs="Times New Roman" w:eastAsia="Times New Roman" w:hAnsi="Times New Roman"/>
          <w:sz w:val="18"/>
          <w:szCs w:val="18"/>
          <w:color w:val="auto"/>
        </w:rPr>
        <w:t>- Includes global sales primarily of Coach brand products to customers through our DTC, wholesale and licensing businesses.</w:t>
      </w:r>
    </w:p>
    <w:p>
      <w:pPr>
        <w:spacing w:after="0" w:line="117"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Kate Spade </w:t>
      </w:r>
      <w:r>
        <w:rPr>
          <w:rFonts w:ascii="Times New Roman" w:cs="Times New Roman" w:eastAsia="Times New Roman" w:hAnsi="Times New Roman"/>
          <w:sz w:val="18"/>
          <w:szCs w:val="18"/>
          <w:color w:val="auto"/>
        </w:rPr>
        <w:t>- Includes global sales primarily of kate spade new york brand products to customers through our DTC, wholesale and licensing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w:t>
      </w:r>
    </w:p>
    <w:p>
      <w:pPr>
        <w:spacing w:after="0" w:line="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chief operating decision maker ("CODM"), who is its Chief Executive Officer, regularly evaluates operating profit of these segments compared to management's expectations in deciding how to allocate resources and assess performance. Segment operating profit is the gross profit of the segment less direct expenses of the segment. Total expenditures for additions to long-lived assets and assets by segment are not provided to the CODM as such information is not utilized for purposes of assessing performance or allocating resources, and therefore has not been disclosed.</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these reportable segments, the Company has certain corporate expenses that are not directly attributable to its brands ("Unallocated corporate expenses"); therefore, they are not allocated to its segments. Such costs primarily include certain overhead expenses related to corporate functions as well as certain administration, corporate occupancy, information technology and depreciation costs.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August 4, 2025, the Company determined it has two reportable segments on a prospective basis as a result of the sale of the Stuart Weitzman Business. The Company has included the results of our disposed segment, Stuart Weitzman, below for comparability purposes. Refer to Note 5, "Acquisitions and Divestitures" for further information.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net sales, significant expenses and operating profit (loss) of each of the Company's segments and reconciliation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Income (loss) before provision for income taxes for the three and six months ended December 27, 2025 and December 28, 2024:</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1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r>
              <w:rPr>
                <w:rFonts w:ascii="Times New Roman" w:cs="Times New Roman" w:eastAsia="Times New Roman" w:hAnsi="Times New Roman"/>
                <w:sz w:val="23"/>
                <w:szCs w:val="23"/>
                <w:b w:val="1"/>
                <w:bCs w:val="1"/>
                <w:color w:val="auto"/>
                <w:vertAlign w:val="superscript"/>
              </w:rPr>
              <w:t>(1)</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0"/>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gridSpan w:val="5"/>
          </w:tcPr>
          <w:p>
            <w:pPr>
              <w:ind w:left="11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6"/>
        </w:trPr>
        <w:tc>
          <w:tcPr>
            <w:tcW w:w="20" w:type="dxa"/>
            <w:vAlign w:val="bottom"/>
            <w:shd w:val="clear" w:color="auto" w:fill="CCEEFF"/>
          </w:tcPr>
          <w:p>
            <w:pPr>
              <w:spacing w:after="0"/>
              <w:rPr>
                <w:sz w:val="18"/>
                <w:szCs w:val="18"/>
                <w:color w:val="auto"/>
              </w:rPr>
            </w:pPr>
          </w:p>
        </w:tc>
        <w:tc>
          <w:tcPr>
            <w:tcW w:w="4700" w:type="dxa"/>
            <w:vAlign w:val="bottom"/>
            <w:gridSpan w:val="6"/>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Three Months Ended December 27, 2025</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314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5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2,142.4</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360.0</w:t>
            </w: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2,502.4</w:t>
            </w: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6"/>
            <w:shd w:val="clear" w:color="auto" w:fill="CCEEFF"/>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Cost of sales</w:t>
            </w:r>
            <w:r>
              <w:rPr>
                <w:rFonts w:ascii="Times New Roman" w:cs="Times New Roman" w:eastAsia="Times New Roman" w:hAnsi="Times New Roman"/>
                <w:sz w:val="23"/>
                <w:szCs w:val="23"/>
                <w:b w:val="1"/>
                <w:bCs w:val="1"/>
                <w:color w:val="auto"/>
                <w:vertAlign w:val="superscript"/>
              </w:rPr>
              <w:t>(2)</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614.0</w:t>
            </w:r>
          </w:p>
        </w:tc>
      </w:tr>
      <w:tr>
        <w:trPr>
          <w:trHeight w:val="229"/>
        </w:trPr>
        <w:tc>
          <w:tcPr>
            <w:tcW w:w="20" w:type="dxa"/>
            <w:vAlign w:val="bottom"/>
          </w:tcPr>
          <w:p>
            <w:pPr>
              <w:spacing w:after="0"/>
              <w:rPr>
                <w:sz w:val="19"/>
                <w:szCs w:val="19"/>
                <w:color w:val="auto"/>
              </w:rPr>
            </w:pPr>
          </w:p>
        </w:tc>
        <w:tc>
          <w:tcPr>
            <w:tcW w:w="4700" w:type="dxa"/>
            <w:vAlign w:val="bottom"/>
            <w:gridSpan w:val="6"/>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Selling, general and administrative expenses</w:t>
            </w:r>
            <w:r>
              <w:rPr>
                <w:rFonts w:ascii="Times New Roman" w:cs="Times New Roman" w:eastAsia="Times New Roman" w:hAnsi="Times New Roman"/>
                <w:sz w:val="23"/>
                <w:szCs w:val="23"/>
                <w:b w:val="1"/>
                <w:bCs w:val="1"/>
                <w:color w:val="auto"/>
                <w:vertAlign w:val="superscript"/>
              </w:rPr>
              <w:t>(2)</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1,025.6</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700" w:type="dxa"/>
            <w:vAlign w:val="bottom"/>
            <w:tcBorders>
              <w:top w:val="single" w:sz="8" w:color="CCEEFF"/>
            </w:tcBorders>
            <w:gridSpan w:val="6"/>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segment operating profit (loss):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846.5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862.8</w:t>
            </w:r>
          </w:p>
        </w:tc>
      </w:tr>
      <w:tr>
        <w:trPr>
          <w:trHeight w:val="230"/>
        </w:trPr>
        <w:tc>
          <w:tcPr>
            <w:tcW w:w="20" w:type="dxa"/>
            <w:vAlign w:val="bottom"/>
          </w:tcPr>
          <w:p>
            <w:pPr>
              <w:spacing w:after="0"/>
              <w:rPr>
                <w:sz w:val="19"/>
                <w:szCs w:val="19"/>
                <w:color w:val="auto"/>
              </w:rPr>
            </w:pPr>
          </w:p>
        </w:tc>
        <w:tc>
          <w:tcPr>
            <w:tcW w:w="4700" w:type="dxa"/>
            <w:vAlign w:val="bottom"/>
            <w:gridSpan w:val="6"/>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Unallocated corporate expenses</w:t>
            </w:r>
            <w:r>
              <w:rPr>
                <w:rFonts w:ascii="Times New Roman" w:cs="Times New Roman" w:eastAsia="Times New Roman" w:hAnsi="Times New Roman"/>
                <w:sz w:val="23"/>
                <w:szCs w:val="23"/>
                <w:b w:val="1"/>
                <w:bCs w:val="1"/>
                <w:color w:val="auto"/>
                <w:vertAlign w:val="superscript"/>
              </w:rPr>
              <w:t>(3)</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146.4</w:t>
            </w: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6"/>
            <w:shd w:val="clear" w:color="auto" w:fill="CCEEFF"/>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Unallocated other charges, net</w:t>
            </w:r>
            <w:r>
              <w:rPr>
                <w:rFonts w:ascii="Times New Roman" w:cs="Times New Roman" w:eastAsia="Times New Roman" w:hAnsi="Times New Roman"/>
                <w:sz w:val="23"/>
                <w:szCs w:val="23"/>
                <w:b w:val="1"/>
                <w:bCs w:val="1"/>
                <w:color w:val="auto"/>
                <w:vertAlign w:val="superscript"/>
              </w:rPr>
              <w:t>(4)</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w:t>
            </w:r>
          </w:p>
        </w:tc>
      </w:tr>
      <w:tr>
        <w:trPr>
          <w:trHeight w:val="223"/>
        </w:trPr>
        <w:tc>
          <w:tcPr>
            <w:tcW w:w="20" w:type="dxa"/>
            <w:vAlign w:val="bottom"/>
          </w:tcPr>
          <w:p>
            <w:pPr>
              <w:spacing w:after="0"/>
              <w:rPr>
                <w:sz w:val="19"/>
                <w:szCs w:val="19"/>
                <w:color w:val="auto"/>
              </w:rPr>
            </w:pPr>
          </w:p>
        </w:tc>
        <w:tc>
          <w:tcPr>
            <w:tcW w:w="470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Income (loss) before provision for income taxes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697.1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470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auto"/>
              </w:rPr>
              <w:t>Three Months Ended December 28, 2024</w:t>
            </w: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16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2,195.4</w:t>
            </w:r>
          </w:p>
        </w:tc>
      </w:tr>
      <w:tr>
        <w:trPr>
          <w:trHeight w:val="229"/>
        </w:trPr>
        <w:tc>
          <w:tcPr>
            <w:tcW w:w="20" w:type="dxa"/>
            <w:vAlign w:val="bottom"/>
          </w:tcPr>
          <w:p>
            <w:pPr>
              <w:spacing w:after="0"/>
              <w:rPr>
                <w:sz w:val="19"/>
                <w:szCs w:val="19"/>
                <w:color w:val="auto"/>
              </w:rPr>
            </w:pPr>
          </w:p>
        </w:tc>
        <w:tc>
          <w:tcPr>
            <w:tcW w:w="4700" w:type="dxa"/>
            <w:vAlign w:val="bottom"/>
            <w:gridSpan w:val="6"/>
          </w:tcPr>
          <w:p>
            <w:pPr>
              <w:spacing w:after="0" w:line="230" w:lineRule="exact"/>
              <w:rPr>
                <w:sz w:val="20"/>
                <w:szCs w:val="20"/>
                <w:color w:val="auto"/>
              </w:rPr>
            </w:pPr>
            <w:r>
              <w:rPr>
                <w:rFonts w:ascii="Times New Roman" w:cs="Times New Roman" w:eastAsia="Times New Roman" w:hAnsi="Times New Roman"/>
                <w:sz w:val="18"/>
                <w:szCs w:val="18"/>
                <w:color w:val="auto"/>
              </w:rPr>
              <w:t>Cost of sales</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562.3</w:t>
            </w: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6"/>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expenses</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w:t>
            </w:r>
          </w:p>
        </w:tc>
      </w:tr>
      <w:tr>
        <w:trPr>
          <w:trHeight w:val="223"/>
        </w:trPr>
        <w:tc>
          <w:tcPr>
            <w:tcW w:w="20" w:type="dxa"/>
            <w:vAlign w:val="bottom"/>
          </w:tcPr>
          <w:p>
            <w:pPr>
              <w:spacing w:after="0"/>
              <w:rPr>
                <w:sz w:val="19"/>
                <w:szCs w:val="19"/>
                <w:color w:val="auto"/>
              </w:rPr>
            </w:pPr>
          </w:p>
        </w:tc>
        <w:tc>
          <w:tcPr>
            <w:tcW w:w="470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Total segment operating profit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687.9</w:t>
            </w: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6"/>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Unallocated corporate expenses</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r>
      <w:tr>
        <w:trPr>
          <w:trHeight w:val="229"/>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6"/>
          </w:tcPr>
          <w:p>
            <w:pPr>
              <w:spacing w:after="0" w:line="230" w:lineRule="exact"/>
              <w:rPr>
                <w:sz w:val="20"/>
                <w:szCs w:val="20"/>
                <w:color w:val="auto"/>
              </w:rPr>
            </w:pPr>
            <w:r>
              <w:rPr>
                <w:rFonts w:ascii="Times New Roman" w:cs="Times New Roman" w:eastAsia="Times New Roman" w:hAnsi="Times New Roman"/>
                <w:sz w:val="18"/>
                <w:szCs w:val="18"/>
                <w:color w:val="auto"/>
              </w:rPr>
              <w:t>Unallocated other charges, net</w:t>
            </w:r>
            <w:r>
              <w:rPr>
                <w:rFonts w:ascii="Times New Roman" w:cs="Times New Roman" w:eastAsia="Times New Roman" w:hAnsi="Times New Roman"/>
                <w:sz w:val="23"/>
                <w:szCs w:val="23"/>
                <w:color w:val="auto"/>
                <w:vertAlign w:val="superscript"/>
              </w:rPr>
              <w:t>(4)</w:t>
            </w:r>
          </w:p>
        </w:tc>
        <w:tc>
          <w:tcPr>
            <w:tcW w:w="3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6"/>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20" w:type="dxa"/>
            <w:vAlign w:val="bottom"/>
            <w:shd w:val="clear" w:color="auto" w:fill="CCEEFF"/>
          </w:tcPr>
          <w:p>
            <w:pPr>
              <w:spacing w:after="0"/>
              <w:rPr>
                <w:sz w:val="18"/>
                <w:szCs w:val="18"/>
                <w:color w:val="auto"/>
              </w:rPr>
            </w:pPr>
          </w:p>
        </w:tc>
        <w:tc>
          <w:tcPr>
            <w:tcW w:w="470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Six Months Ended December 27, 2025</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9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780" w:type="dxa"/>
            <w:vAlign w:val="bottom"/>
            <w:tcBorders>
              <w:top w:val="single" w:sz="8" w:color="CCEEFF"/>
            </w:tcBorders>
            <w:gridSpan w:val="3"/>
          </w:tcPr>
          <w:p>
            <w:pPr>
              <w:spacing w:after="0"/>
              <w:rPr>
                <w:sz w:val="19"/>
                <w:szCs w:val="19"/>
                <w:color w:val="auto"/>
              </w:rPr>
            </w:pPr>
          </w:p>
        </w:tc>
        <w:tc>
          <w:tcPr>
            <w:tcW w:w="32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3,572.2</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620.2</w:t>
            </w: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4,207.0</w:t>
            </w: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6"/>
            <w:shd w:val="clear" w:color="auto" w:fill="CCEEFF"/>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Cost of sales</w:t>
            </w:r>
            <w:r>
              <w:rPr>
                <w:rFonts w:ascii="Times New Roman" w:cs="Times New Roman" w:eastAsia="Times New Roman" w:hAnsi="Times New Roman"/>
                <w:sz w:val="23"/>
                <w:szCs w:val="23"/>
                <w:b w:val="1"/>
                <w:bCs w:val="1"/>
                <w:color w:val="auto"/>
                <w:vertAlign w:val="superscript"/>
              </w:rPr>
              <w:t>(2)</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1,018.1</w:t>
            </w: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6"/>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Selling, general and administrative expenses</w:t>
            </w:r>
            <w:r>
              <w:rPr>
                <w:rFonts w:ascii="Times New Roman" w:cs="Times New Roman" w:eastAsia="Times New Roman" w:hAnsi="Times New Roman"/>
                <w:sz w:val="23"/>
                <w:szCs w:val="23"/>
                <w:b w:val="1"/>
                <w:bCs w:val="1"/>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1,834.1</w:t>
            </w:r>
          </w:p>
        </w:tc>
      </w:tr>
      <w:tr>
        <w:trPr>
          <w:trHeight w:val="223"/>
        </w:trPr>
        <w:tc>
          <w:tcPr>
            <w:tcW w:w="20" w:type="dxa"/>
            <w:vAlign w:val="bottom"/>
            <w:shd w:val="clear" w:color="auto" w:fill="CCEEFF"/>
          </w:tcPr>
          <w:p>
            <w:pPr>
              <w:spacing w:after="0"/>
              <w:rPr>
                <w:sz w:val="19"/>
                <w:szCs w:val="19"/>
                <w:color w:val="auto"/>
              </w:rPr>
            </w:pPr>
          </w:p>
        </w:tc>
        <w:tc>
          <w:tcPr>
            <w:tcW w:w="4700" w:type="dxa"/>
            <w:vAlign w:val="bottom"/>
            <w:gridSpan w:val="6"/>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segment operating profit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1,354.8</w:t>
            </w:r>
          </w:p>
        </w:tc>
      </w:tr>
      <w:tr>
        <w:trPr>
          <w:trHeight w:val="230"/>
        </w:trPr>
        <w:tc>
          <w:tcPr>
            <w:tcW w:w="20" w:type="dxa"/>
            <w:vAlign w:val="bottom"/>
          </w:tcPr>
          <w:p>
            <w:pPr>
              <w:spacing w:after="0"/>
              <w:rPr>
                <w:sz w:val="19"/>
                <w:szCs w:val="19"/>
                <w:color w:val="auto"/>
              </w:rPr>
            </w:pPr>
          </w:p>
        </w:tc>
        <w:tc>
          <w:tcPr>
            <w:tcW w:w="4700" w:type="dxa"/>
            <w:vAlign w:val="bottom"/>
            <w:gridSpan w:val="6"/>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Unallocated corporate expenses</w:t>
            </w:r>
            <w:r>
              <w:rPr>
                <w:rFonts w:ascii="Times New Roman" w:cs="Times New Roman" w:eastAsia="Times New Roman" w:hAnsi="Times New Roman"/>
                <w:sz w:val="23"/>
                <w:szCs w:val="23"/>
                <w:b w:val="1"/>
                <w:bCs w:val="1"/>
                <w:color w:val="auto"/>
                <w:vertAlign w:val="superscript"/>
              </w:rPr>
              <w:t>(3)</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310.2</w:t>
            </w: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6"/>
            <w:shd w:val="clear" w:color="auto" w:fill="CCEEFF"/>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Unallocated other charges, net</w:t>
            </w:r>
            <w:r>
              <w:rPr>
                <w:rFonts w:ascii="Times New Roman" w:cs="Times New Roman" w:eastAsia="Times New Roman" w:hAnsi="Times New Roman"/>
                <w:sz w:val="23"/>
                <w:szCs w:val="23"/>
                <w:b w:val="1"/>
                <w:bCs w:val="1"/>
                <w:color w:val="auto"/>
                <w:vertAlign w:val="superscript"/>
              </w:rPr>
              <w:t>(4)</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r>
      <w:tr>
        <w:trPr>
          <w:trHeight w:val="223"/>
        </w:trPr>
        <w:tc>
          <w:tcPr>
            <w:tcW w:w="20" w:type="dxa"/>
            <w:vAlign w:val="bottom"/>
          </w:tcPr>
          <w:p>
            <w:pPr>
              <w:spacing w:after="0"/>
              <w:rPr>
                <w:sz w:val="19"/>
                <w:szCs w:val="19"/>
                <w:color w:val="auto"/>
              </w:rPr>
            </w:pPr>
          </w:p>
        </w:tc>
        <w:tc>
          <w:tcPr>
            <w:tcW w:w="470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Income (loss) before provision for income taxes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1,015.8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470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auto"/>
              </w:rPr>
              <w:t>Six Months Ended December 28, 2024</w:t>
            </w: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3,702.9</w:t>
            </w:r>
          </w:p>
        </w:tc>
      </w:tr>
      <w:tr>
        <w:trPr>
          <w:trHeight w:val="230"/>
        </w:trPr>
        <w:tc>
          <w:tcPr>
            <w:tcW w:w="20" w:type="dxa"/>
            <w:vAlign w:val="bottom"/>
          </w:tcPr>
          <w:p>
            <w:pPr>
              <w:spacing w:after="0"/>
              <w:rPr>
                <w:sz w:val="19"/>
                <w:szCs w:val="19"/>
                <w:color w:val="auto"/>
              </w:rPr>
            </w:pPr>
          </w:p>
        </w:tc>
        <w:tc>
          <w:tcPr>
            <w:tcW w:w="4700" w:type="dxa"/>
            <w:vAlign w:val="bottom"/>
            <w:gridSpan w:val="6"/>
          </w:tcPr>
          <w:p>
            <w:pPr>
              <w:spacing w:after="0" w:line="230" w:lineRule="exact"/>
              <w:rPr>
                <w:sz w:val="20"/>
                <w:szCs w:val="20"/>
                <w:color w:val="auto"/>
              </w:rPr>
            </w:pPr>
            <w:r>
              <w:rPr>
                <w:rFonts w:ascii="Times New Roman" w:cs="Times New Roman" w:eastAsia="Times New Roman" w:hAnsi="Times New Roman"/>
                <w:sz w:val="18"/>
                <w:szCs w:val="18"/>
                <w:color w:val="auto"/>
              </w:rPr>
              <w:t>Cost of sales</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934.9</w:t>
            </w: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6"/>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expenses</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1,673.9</w:t>
            </w:r>
          </w:p>
        </w:tc>
      </w:tr>
      <w:tr>
        <w:trPr>
          <w:trHeight w:val="223"/>
        </w:trPr>
        <w:tc>
          <w:tcPr>
            <w:tcW w:w="20" w:type="dxa"/>
            <w:vAlign w:val="bottom"/>
          </w:tcPr>
          <w:p>
            <w:pPr>
              <w:spacing w:after="0"/>
              <w:rPr>
                <w:sz w:val="19"/>
                <w:szCs w:val="19"/>
                <w:color w:val="auto"/>
              </w:rPr>
            </w:pPr>
          </w:p>
        </w:tc>
        <w:tc>
          <w:tcPr>
            <w:tcW w:w="470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Total segment operating profit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1,094.1</w:t>
            </w: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6"/>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Unallocated corporate expenses</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w:t>
            </w:r>
          </w:p>
        </w:tc>
      </w:tr>
      <w:tr>
        <w:trPr>
          <w:trHeight w:val="229"/>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6"/>
          </w:tcPr>
          <w:p>
            <w:pPr>
              <w:spacing w:after="0" w:line="230" w:lineRule="exact"/>
              <w:rPr>
                <w:sz w:val="20"/>
                <w:szCs w:val="20"/>
                <w:color w:val="auto"/>
              </w:rPr>
            </w:pPr>
            <w:r>
              <w:rPr>
                <w:rFonts w:ascii="Times New Roman" w:cs="Times New Roman" w:eastAsia="Times New Roman" w:hAnsi="Times New Roman"/>
                <w:sz w:val="18"/>
                <w:szCs w:val="18"/>
                <w:color w:val="auto"/>
              </w:rPr>
              <w:t>Unallocated other charges, net</w:t>
            </w:r>
            <w:r>
              <w:rPr>
                <w:rFonts w:ascii="Times New Roman" w:cs="Times New Roman" w:eastAsia="Times New Roman" w:hAnsi="Times New Roman"/>
                <w:sz w:val="23"/>
                <w:szCs w:val="23"/>
                <w:color w:val="auto"/>
                <w:vertAlign w:val="superscript"/>
              </w:rPr>
              <w:t>(4)</w:t>
            </w:r>
          </w:p>
        </w:tc>
        <w:tc>
          <w:tcPr>
            <w:tcW w:w="3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6"/>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r>
    </w:tbl>
    <w:p>
      <w:pPr>
        <w:spacing w:after="0" w:line="171" w:lineRule="exact"/>
        <w:rPr>
          <w:sz w:val="20"/>
          <w:szCs w:val="20"/>
          <w:color w:val="auto"/>
        </w:rPr>
      </w:pPr>
    </w:p>
    <w:p>
      <w:pPr>
        <w:ind w:left="340" w:hanging="332"/>
        <w:spacing w:after="0" w:line="229" w:lineRule="auto"/>
        <w:tabs>
          <w:tab w:leader="none" w:pos="296"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six months ended December 27, 2025, Stuart Weitzman Net sales, Cost of sales and Selling, general and administrative expenses represent results for the period prior to the sale on August 4, 2025.</w:t>
      </w:r>
    </w:p>
    <w:p>
      <w:pPr>
        <w:spacing w:after="0" w:line="90"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63"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Significant expense categories that are regularly provided to the CODM, or easily computable from information that is regularly provided to the CODM.</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Unallocated corporate expenses represent certain corporate Selling, general and administrative expenses that are not directly attributable to a segment.</w:t>
      </w:r>
    </w:p>
    <w:p>
      <w:pPr>
        <w:spacing w:after="0" w:line="68" w:lineRule="exact"/>
        <w:rPr>
          <w:rFonts w:ascii="Times New Roman" w:cs="Times New Roman" w:eastAsia="Times New Roman" w:hAnsi="Times New Roman"/>
          <w:sz w:val="23"/>
          <w:szCs w:val="23"/>
          <w:color w:val="auto"/>
          <w:vertAlign w:val="superscript"/>
        </w:rPr>
      </w:pPr>
    </w:p>
    <w:p>
      <w:pPr>
        <w:ind w:left="260" w:hanging="252"/>
        <w:spacing w:after="0" w:line="231" w:lineRule="auto"/>
        <w:tabs>
          <w:tab w:leader="none" w:pos="26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Loss on extinguishment of debt, Interest expense, net and Other expense (income).</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depreciation and amortization expense of each of the company's segments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27, 2025 and December 28, 2024:</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6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40" w:type="dxa"/>
            <w:vAlign w:val="bottom"/>
          </w:tcPr>
          <w:p>
            <w:pPr>
              <w:spacing w:after="0"/>
              <w:rPr>
                <w:sz w:val="20"/>
                <w:szCs w:val="20"/>
                <w:color w:val="auto"/>
              </w:rPr>
            </w:pPr>
          </w:p>
        </w:tc>
        <w:tc>
          <w:tcPr>
            <w:tcW w:w="274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21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December 27,</w:t>
            </w:r>
          </w:p>
        </w:tc>
        <w:tc>
          <w:tcPr>
            <w:tcW w:w="20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232"/>
              <w:spacing w:after="0" w:line="169" w:lineRule="exact"/>
              <w:rPr>
                <w:sz w:val="20"/>
                <w:szCs w:val="20"/>
                <w:color w:val="auto"/>
              </w:rPr>
            </w:pPr>
            <w:r>
              <w:rPr>
                <w:rFonts w:ascii="Times New Roman" w:cs="Times New Roman" w:eastAsia="Times New Roman" w:hAnsi="Times New Roman"/>
                <w:sz w:val="18"/>
                <w:szCs w:val="18"/>
                <w:color w:val="auto"/>
              </w:rPr>
              <w:t>December 28,</w:t>
            </w:r>
          </w:p>
        </w:tc>
        <w:tc>
          <w:tcPr>
            <w:tcW w:w="80" w:type="dxa"/>
            <w:vAlign w:val="bottom"/>
          </w:tcPr>
          <w:p>
            <w:pPr>
              <w:spacing w:after="0"/>
              <w:rPr>
                <w:sz w:val="14"/>
                <w:szCs w:val="14"/>
                <w:color w:val="auto"/>
              </w:rPr>
            </w:pPr>
          </w:p>
        </w:tc>
        <w:tc>
          <w:tcPr>
            <w:tcW w:w="17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27, 2025</w:t>
            </w:r>
            <w:r>
              <w:rPr>
                <w:rFonts w:ascii="Times New Roman" w:cs="Times New Roman" w:eastAsia="Times New Roman" w:hAnsi="Times New Roman"/>
                <w:sz w:val="23"/>
                <w:szCs w:val="23"/>
                <w:b w:val="1"/>
                <w:bCs w:val="1"/>
                <w:color w:val="auto"/>
                <w:vertAlign w:val="superscript"/>
              </w:rPr>
              <w:t>(3)</w:t>
            </w:r>
          </w:p>
        </w:tc>
        <w:tc>
          <w:tcPr>
            <w:tcW w:w="2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230"/>
              <w:spacing w:after="0" w:line="169" w:lineRule="exact"/>
              <w:rPr>
                <w:sz w:val="20"/>
                <w:szCs w:val="20"/>
                <w:color w:val="auto"/>
              </w:rPr>
            </w:pPr>
            <w:r>
              <w:rPr>
                <w:rFonts w:ascii="Times New Roman" w:cs="Times New Roman" w:eastAsia="Times New Roman" w:hAnsi="Times New Roman"/>
                <w:sz w:val="18"/>
                <w:szCs w:val="18"/>
                <w:color w:val="auto"/>
              </w:rPr>
              <w:t>December 28,</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30"/>
              <w:spacing w:after="0" w:line="243" w:lineRule="exact"/>
              <w:rPr>
                <w:sz w:val="20"/>
                <w:szCs w:val="20"/>
                <w:color w:val="auto"/>
              </w:rPr>
            </w:pPr>
            <w:r>
              <w:rPr>
                <w:rFonts w:ascii="Times New Roman" w:cs="Times New Roman" w:eastAsia="Times New Roman" w:hAnsi="Times New Roman"/>
                <w:sz w:val="18"/>
                <w:szCs w:val="18"/>
                <w:b w:val="1"/>
                <w:bCs w:val="1"/>
                <w:color w:val="auto"/>
              </w:rPr>
              <w:t>2025</w:t>
            </w:r>
            <w:r>
              <w:rPr>
                <w:rFonts w:ascii="Times New Roman" w:cs="Times New Roman" w:eastAsia="Times New Roman" w:hAnsi="Times New Roman"/>
                <w:sz w:val="23"/>
                <w:szCs w:val="23"/>
                <w:b w:val="1"/>
                <w:bCs w:val="1"/>
                <w:color w:val="auto"/>
                <w:vertAlign w:val="superscript"/>
              </w:rPr>
              <w:t>(3)</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520" w:type="dxa"/>
            <w:vAlign w:val="bottom"/>
            <w:gridSpan w:val="2"/>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b w:val="1"/>
                <w:bCs w:val="1"/>
                <w:color w:val="auto"/>
              </w:rPr>
              <w:t>Depreciation and amortization expense</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Coach</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45.2</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29"/>
        </w:trPr>
        <w:tc>
          <w:tcPr>
            <w:tcW w:w="4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Kate Spade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0"/>
        </w:trPr>
        <w:tc>
          <w:tcPr>
            <w:tcW w:w="4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Stuart Weitzman</w:t>
            </w:r>
          </w:p>
        </w:tc>
        <w:tc>
          <w:tcPr>
            <w:tcW w:w="1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segment depreciation and amortization expense:</w:t>
            </w:r>
          </w:p>
        </w:tc>
        <w:tc>
          <w:tcPr>
            <w:tcW w:w="1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Unallocated corporate</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48"/>
        </w:trPr>
        <w:tc>
          <w:tcPr>
            <w:tcW w:w="45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Depreciation and amortization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180" w:type="dxa"/>
            <w:vAlign w:val="bottom"/>
            <w:tcBorders>
              <w:bottom w:val="single" w:sz="8" w:color="auto"/>
            </w:tcBorders>
          </w:tcPr>
          <w:p>
            <w:pPr>
              <w:spacing w:after="0"/>
              <w:rPr>
                <w:sz w:val="13"/>
                <w:szCs w:val="13"/>
                <w:color w:val="auto"/>
              </w:rPr>
            </w:pPr>
          </w:p>
        </w:tc>
        <w:tc>
          <w:tcPr>
            <w:tcW w:w="2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Depreciation and amortization expense for the segments includes an allocation of expense related to assets which support multiple segments.</w:t>
      </w:r>
    </w:p>
    <w:p>
      <w:pPr>
        <w:spacing w:after="0" w:line="89"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09"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Unallocated corporate, which is not a reportable segment, represents certain depreciation and amortization costs that are not directly attributable to a segment.</w:t>
      </w:r>
    </w:p>
    <w:p>
      <w:pPr>
        <w:spacing w:after="0" w:line="90" w:lineRule="exact"/>
        <w:rPr>
          <w:rFonts w:ascii="Times New Roman" w:cs="Times New Roman" w:eastAsia="Times New Roman" w:hAnsi="Times New Roman"/>
          <w:sz w:val="23"/>
          <w:szCs w:val="23"/>
          <w:color w:val="auto"/>
          <w:vertAlign w:val="superscript"/>
        </w:rPr>
      </w:pPr>
    </w:p>
    <w:p>
      <w:pPr>
        <w:jc w:val="both"/>
        <w:ind w:left="340" w:hanging="332"/>
        <w:spacing w:after="0" w:line="239" w:lineRule="auto"/>
        <w:tabs>
          <w:tab w:leader="none" w:pos="323"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Depreciation and amortization expense includes $0.0 million and $0.9 million of costs in connection with the sale of the Stuart Weitzman Business recorded within Unallocated corporate for the three and six months ended December 27, 2025, respectively. Depreciation and amortization expense includes $2.0 million and $3.5 million of costs related to the Company's organizational efficiency efforts recorded within Unallocated corporate for the three and six months ended December 27, 2025, respectively.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ind w:left="18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discussion of the Company's financial condition and results of operations should be read together with the Company's condensed consolidated financial statements and notes to those financial statements included elsewhere in this document. When used herein, the terms "the Company," "Tapestry," "we," "us" and "our" refer to Tapestry, Inc., including consolidated subsidiaries. References to "Coach," "Kate Spade" or "kate spade new york" refer only to the referenced brand.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provided as a supplement to the accompanying consolidated financial statements and notes thereto to help provide an understanding of our results of operations, financial condition and liquidity. MD&amp;A is organized as follows:</w:t>
      </w:r>
    </w:p>
    <w:p>
      <w:pPr>
        <w:spacing w:after="0" w:line="66" w:lineRule="exact"/>
        <w:rPr>
          <w:sz w:val="20"/>
          <w:szCs w:val="20"/>
          <w:color w:val="auto"/>
        </w:rPr>
      </w:pPr>
    </w:p>
    <w:p>
      <w:pPr>
        <w:ind w:left="580" w:hanging="248"/>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This section provides a general description of the business and brands as well as the Company’s growth strategy.</w:t>
      </w:r>
    </w:p>
    <w:p>
      <w:pPr>
        <w:spacing w:after="0" w:line="117" w:lineRule="exact"/>
        <w:rPr>
          <w:rFonts w:ascii="Times New Roman" w:cs="Times New Roman" w:eastAsia="Times New Roman" w:hAnsi="Times New Roman"/>
          <w:sz w:val="18"/>
          <w:szCs w:val="18"/>
          <w:color w:val="auto"/>
        </w:rPr>
      </w:pPr>
    </w:p>
    <w:p>
      <w:pPr>
        <w:ind w:left="580" w:right="120" w:hanging="248"/>
        <w:spacing w:after="0" w:line="284" w:lineRule="auto"/>
        <w:tabs>
          <w:tab w:leader="none" w:pos="5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Global Economic Conditions and Industry Trends. </w:t>
      </w:r>
      <w:r>
        <w:rPr>
          <w:rFonts w:ascii="Times New Roman" w:cs="Times New Roman" w:eastAsia="Times New Roman" w:hAnsi="Times New Roman"/>
          <w:sz w:val="18"/>
          <w:szCs w:val="18"/>
          <w:color w:val="auto"/>
        </w:rPr>
        <w:t>This section includes a discussion on global economic conditions and industry trends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 comparability that are important in understanding results of operations and financial conditions, and in anticipating future trends.</w:t>
      </w:r>
    </w:p>
    <w:p>
      <w:pPr>
        <w:spacing w:after="0" w:line="50" w:lineRule="exact"/>
        <w:rPr>
          <w:rFonts w:ascii="Times New Roman" w:cs="Times New Roman" w:eastAsia="Times New Roman" w:hAnsi="Times New Roman"/>
          <w:sz w:val="18"/>
          <w:szCs w:val="18"/>
          <w:color w:val="auto"/>
        </w:rPr>
      </w:pPr>
    </w:p>
    <w:p>
      <w:pPr>
        <w:ind w:left="580" w:right="120" w:hanging="248"/>
        <w:spacing w:after="0" w:line="284" w:lineRule="auto"/>
        <w:tabs>
          <w:tab w:leader="none" w:pos="5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An analysis of our results of operations in the second quarter of fiscal 2026 compared to the second quarter of fiscal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first six months of fiscal 2026 compared to the first six months of fiscal 2025.</w:t>
      </w:r>
    </w:p>
    <w:p>
      <w:pPr>
        <w:spacing w:after="0" w:line="50" w:lineRule="exact"/>
        <w:rPr>
          <w:rFonts w:ascii="Times New Roman" w:cs="Times New Roman" w:eastAsia="Times New Roman" w:hAnsi="Times New Roman"/>
          <w:sz w:val="18"/>
          <w:szCs w:val="18"/>
          <w:color w:val="auto"/>
        </w:rPr>
      </w:pPr>
    </w:p>
    <w:p>
      <w:pPr>
        <w:jc w:val="both"/>
        <w:ind w:left="580" w:right="120" w:hanging="248"/>
        <w:spacing w:after="0" w:line="267" w:lineRule="auto"/>
        <w:tabs>
          <w:tab w:leader="none" w:pos="5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Non-GAAP Measures. </w:t>
      </w:r>
      <w:r>
        <w:rPr>
          <w:rFonts w:ascii="Times New Roman" w:cs="Times New Roman" w:eastAsia="Times New Roman" w:hAnsi="Times New Roman"/>
          <w:sz w:val="18"/>
          <w:szCs w:val="18"/>
          <w:color w:val="auto"/>
        </w:rPr>
        <w:t>This section includes non-GAAP measures that are useful to investors and others in evaluating the Company’s ongoing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and financial results in a manner that is consistent with management's evaluation of business performance and understanding how such results compare with the Company’s historical performance.</w:t>
      </w:r>
    </w:p>
    <w:p>
      <w:pPr>
        <w:spacing w:after="0" w:line="65" w:lineRule="exact"/>
        <w:rPr>
          <w:rFonts w:ascii="Times New Roman" w:cs="Times New Roman" w:eastAsia="Times New Roman" w:hAnsi="Times New Roman"/>
          <w:sz w:val="18"/>
          <w:szCs w:val="18"/>
          <w:color w:val="auto"/>
        </w:rPr>
      </w:pPr>
    </w:p>
    <w:p>
      <w:pPr>
        <w:ind w:left="580" w:right="120" w:hanging="248"/>
        <w:spacing w:after="0" w:line="284" w:lineRule="auto"/>
        <w:tabs>
          <w:tab w:leader="none" w:pos="5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Condition. </w:t>
      </w:r>
      <w:r>
        <w:rPr>
          <w:rFonts w:ascii="Times New Roman" w:cs="Times New Roman" w:eastAsia="Times New Roman" w:hAnsi="Times New Roman"/>
          <w:sz w:val="18"/>
          <w:szCs w:val="18"/>
          <w:color w:val="auto"/>
        </w:rPr>
        <w:t>This section includes a discussion on liquidity and capital resources including an analysis of changes in cash flow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working capital and capital expenditures.</w:t>
      </w:r>
    </w:p>
    <w:p>
      <w:pPr>
        <w:spacing w:after="0" w:line="50" w:lineRule="exact"/>
        <w:rPr>
          <w:rFonts w:ascii="Times New Roman" w:cs="Times New Roman" w:eastAsia="Times New Roman" w:hAnsi="Times New Roman"/>
          <w:sz w:val="18"/>
          <w:szCs w:val="18"/>
          <w:color w:val="auto"/>
        </w:rPr>
      </w:pPr>
    </w:p>
    <w:p>
      <w:pPr>
        <w:ind w:left="580" w:right="120" w:hanging="248"/>
        <w:spacing w:after="0" w:line="284" w:lineRule="auto"/>
        <w:tabs>
          <w:tab w:leader="none" w:pos="5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Critical Accounting Policies and Estimates. </w:t>
      </w:r>
      <w:r>
        <w:rPr>
          <w:rFonts w:ascii="Times New Roman" w:cs="Times New Roman" w:eastAsia="Times New Roman" w:hAnsi="Times New Roman"/>
          <w:sz w:val="18"/>
          <w:szCs w:val="18"/>
          <w:color w:val="auto"/>
        </w:rPr>
        <w:t>This section includes any material changes or updates to critical accounting policies or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the Annual Report on Form 10-K for fiscal 2025.</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Tapestry, Inc. is a house of iconic accessories and lifestyle brands. Our global house of brands unites the magic of Coach and kate spade new york. Each of our brands are unique and independent, while sharing a commitment to innovation and authenticity defined by distinctive products and differentiated customer experiences across channels and geographies. We use our collective strengths to move our customers and empower our communities, to make the fashion industry more sustainable, and to harness the power of an inclusive culture. Individually, our brands are iconic. Together, we can stretch what’s possible.</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two reportable segments:</w:t>
      </w:r>
    </w:p>
    <w:p>
      <w:pPr>
        <w:spacing w:after="0" w:line="115" w:lineRule="exact"/>
        <w:rPr>
          <w:sz w:val="20"/>
          <w:szCs w:val="20"/>
          <w:color w:val="auto"/>
        </w:rPr>
      </w:pPr>
    </w:p>
    <w:p>
      <w:pPr>
        <w:ind w:left="580" w:hanging="248"/>
        <w:spacing w:after="0"/>
        <w:tabs>
          <w:tab w:leader="none" w:pos="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Coach - </w:t>
      </w:r>
      <w:r>
        <w:rPr>
          <w:rFonts w:ascii="Times New Roman" w:cs="Times New Roman" w:eastAsia="Times New Roman" w:hAnsi="Times New Roman"/>
          <w:sz w:val="18"/>
          <w:szCs w:val="18"/>
          <w:color w:val="auto"/>
        </w:rPr>
        <w:t>Includes global sales of primarily Coach brand products to customers through our DTC, wholesale and licensing businesses.</w:t>
      </w:r>
    </w:p>
    <w:p>
      <w:pPr>
        <w:spacing w:after="0" w:line="117" w:lineRule="exact"/>
        <w:rPr>
          <w:rFonts w:ascii="Times New Roman" w:cs="Times New Roman" w:eastAsia="Times New Roman" w:hAnsi="Times New Roman"/>
          <w:sz w:val="18"/>
          <w:szCs w:val="18"/>
          <w:color w:val="auto"/>
        </w:rPr>
      </w:pPr>
    </w:p>
    <w:p>
      <w:pPr>
        <w:ind w:left="580" w:hanging="248"/>
        <w:spacing w:after="0" w:line="284" w:lineRule="auto"/>
        <w:tabs>
          <w:tab w:leader="none" w:pos="5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Kate Spade </w:t>
      </w:r>
      <w:r>
        <w:rPr>
          <w:rFonts w:ascii="Times New Roman" w:cs="Times New Roman" w:eastAsia="Times New Roman" w:hAnsi="Times New Roman"/>
          <w:sz w:val="18"/>
          <w:szCs w:val="18"/>
          <w:color w:val="auto"/>
        </w:rPr>
        <w:t>- Includes global sales primarily of kate spade new york brand products to customers through our DTC, wholesale and licensing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w:t>
      </w:r>
    </w:p>
    <w:p>
      <w:pPr>
        <w:spacing w:after="0" w:line="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2028 Growth Strategy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first quarter of fiscal 2026, the Company introduced its 2028 growth strategy (“Amplify”), which focuses on four key pillars:</w:t>
      </w:r>
    </w:p>
    <w:p>
      <w:pPr>
        <w:spacing w:after="0" w:line="117" w:lineRule="exact"/>
        <w:rPr>
          <w:sz w:val="20"/>
          <w:szCs w:val="20"/>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Emotional Connections with Consumers: The Company aims to drive new customer acquisition, with a focus on Gen Z consumers entering the market to build brand love and lifetime value.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Fueling Fashion Innovation &amp; Product Excellence: The Company aims to lead with handbags and leathergoods with targeted lifestyle expansion in footwear.</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Compelling Experiences to Drive Global Growth: The Company aims to sustain growth in North America and accelerate momentum in international markets, prioritizing Greater China and Europe.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Ignite the Power of Our People: The Company aims to future-proof growth by continuing to develop a consumer-obsessed culture that is agile and always looking forward.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2" w:name="page33"/>
    <w:bookmarkEnd w:id="32"/>
    <w:p>
      <w:pPr>
        <w:ind w:left="340"/>
        <w:spacing w:after="0"/>
        <w:rPr>
          <w:sz w:val="20"/>
          <w:szCs w:val="20"/>
          <w:color w:val="auto"/>
        </w:rPr>
      </w:pPr>
      <w:r>
        <w:rPr>
          <w:rFonts w:ascii="Times New Roman" w:cs="Times New Roman" w:eastAsia="Times New Roman" w:hAnsi="Times New Roman"/>
          <w:sz w:val="18"/>
          <w:szCs w:val="18"/>
          <w:b w:val="1"/>
          <w:bCs w:val="1"/>
          <w:color w:val="auto"/>
        </w:rPr>
        <w:t>Stuart Weitzman Business Divestiture</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February 16, 2025, the Company entered into a sale and purchase agreement (the “Purchase Agreement”) with Caleres, Inc. (the “Purchaser”) to sell the Stuart Weitzman Business (as defined below). The sale was completed on August 4, 2025 (the "Stuart Weitzman Business Divestiture"). The Purchaser acquired certain assets and liabilities of the Company's global business of designing, manufacturing, promotion, marketing, production, distribution, sales and licensing of Stuart Weitzman branded products (the "Stuart Weitzman Business") for total cash consideration of $105.0 million (the "Purchase Price"). The Purchase Price is subject to customary adjustments for cash, indebtedness, net working capital and transaction expenses. Effective in the first quarter of fiscal 2026, following the Stuart Weitzman Business Divestiture, the Company's reportable segments are Coach and Kate Spade. Refer to Note 5, "Acquisitions and Divestitures" for further information.</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Capri Holdings Limited Acquisition</w:t>
      </w:r>
    </w:p>
    <w:p>
      <w:pPr>
        <w:spacing w:after="0" w:line="12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August 10, 2023, the Company entered into the Merger Agreement by and among the Company, Sunrise Merger Sub, Inc., a direct wholly owned subsidiary of Tapestry, and Capri. In order to finance the Capri Acquisition, on November 27, 2023, the Company issued $4.50 billion of U.S. dollar-denominated senior unsecured notes and €1.50 billion of Euro-denominated senior unsecured notes (the "Capri Acquisition Senior Notes") which, together with the $1.40 billion of delayed draw unsecured term loan facilities (the "Capri Acquisition Term Loan Facilities") executed on August 30, 2023, completed the expected financing for the Capri Acquisition. On April 22, 2024, the FTC filed a complaint against the Company and Capri in the United States District Court for the Southern District of New York seeking to enjoin the consummation of the Capri Acquisition, and on October 24, 2024, the Court issued its Opinion and Order granting the FTC's request for a preliminary injunction of the Merger, pending an administrative trial on the merits which was scheduled to begin on December 9, 2024. On November 13, 2024, the Parties entered into a Termination Agreement (the “Termination Agreement”), pursuant to which the Parties agreed to terminate the Merger Agreement, including all schedules and exhibits thereto and all ancillary agreements contemplated thereby or entered pursuant thereto, effective immediately. Pursuant to the Termination Agreement, the Company agreed to reimburse Capri for its expenses in an amount equal to $45.1 million in cash on November 14, 2024. On November 25, 2024, due to the termination of the Merger Agreement and pursuant to the terms of the indenture governing the Capri Acquisition Senior Notes, as supplemented, the Company redeemed all outstanding Capri Acquisition Senior Notes at a redemption price of 101% of the aggregate principal amount of such Capri Acquisition Senior Notes, plus accrued and unpaid interest to, but excluding, the date of redemption. In addition, the Capri Acquisition Term Loan Facilities were terminated concurrently with the execution of the Termination Agreement on November 13, 2024. Refer to Note 5, "Acquisitions and Divestitures" for further information.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ECONOMIC CONDITIONS AND INDUSTRY TRENDS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environment in which we operate is subject to a number of different factors driving global consumer spending. Consumer preferences, macroeconomic conditions, foreign currency fluctuations and geopolitical events continue to impact overall levels of consumer travel and spending on discretionary items, with inconsistent patterns across business channels and geographies.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will continue to monitor the below trends and evaluate and adjust our operating strategies and cost management opportunities to mitigate the related impact on our results of operations, while remaining focused on the long-term growth of our business and protecting the value of our brands.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 detailed discussion of significant risk factors that have the potential to cause our actual results to differ materially from our expectations, see Part II, Item 1A. "Risk Factors" herein and as disclosed in our Annual Report on Form 10-K for the year ended June 28, 2025.</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3" w:name="page34"/>
    <w:bookmarkEnd w:id="33"/>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Current Macroeconomic Conditions and Outlook</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Currency volatility, geopolitical instability and political uncertainty, such as the impact of policies implemented and that may be implemented by the U.S. Presidential Administration, including, but not limited to, changes to trade agreements, tax legislation or duty rates may also contribute to a worsening of the macroeconomic environment or adversely impact our business.</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second half of fiscal 2025, the U.S. Government announced tariffs on imports from select countries. The majority of the Company's products sold in the U.S. are imported from countries in which these tariffs were announced. Additionally, during the first quarter of fiscal 2026, the President of the United States issued an executive order removing the de minimis exemption for low value shipments imported into the U.S. for all countries beginning August 29, 2025. As a result of these changes in the tariff landscape, including the de minimis removal, for the three and six months ended December 27, 2025, the Company's gross margin was negatively impacted by approximately 190 basis points and 140 basis points, respectively. The Company continues to take actions to mitigate the negative impacts of these incremental costs during the remainder of the fiscal year and beyond.</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second quarter of fiscal 2026, the macroeconomic environment remained challenging and volatile. While certain organizations that monitor the global economy, including the International Monetary Fund, continue to forecast growth, these projections remain subject to uncertainty and have fluctuated in recent periods. The forecast is reflective of the current volatile environment, including the continuation of trade tensions, financial market volatility and the negative economic impacts of geopolitical instability in certain regions of the world.</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second quarter of fiscal 2026, the U.S. Dollar continued to fluctuate as compared to foreign currencies in regions where we conduct our business. This trend has resulted in impacts to our business including, but not limited to, for the three months ended December 27, 2025, increased Net sales of $0.9 million, with no impact to either gross margin or operating margin. For the six months ended December 27, 2025, fluctuations in foreign currency exchange rates resulted in increased Net sales of $11.4 million and a negative impact to gross margin and operating margin of approximately 20 basis points and 20 basis points, respectively.</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response to the current environment, the Company is closely monitoring changes and continues to take strategic actions considering near-term exigencies and remains committed to maintaining the health of the brands and business.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 Legislation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16, 2022, the Inflation Reduction Act of 2022 was signed into law, with tax provisions primarily focused on implementing a 15% corporate alternative minimum tax (“CAMT”) on global adjusted financial statement income and a 1% excise tax on share repurchases. The CAMT was effective at the beginning of fiscal 2024 and did not have a material impact on the Company’s effective tax rate.</w:t>
      </w:r>
    </w:p>
    <w:p>
      <w:pPr>
        <w:spacing w:after="0" w:line="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12, 2022, the E.U. member states reached an agreement to implement the Organization for Economic Co-operation and Development’s (“OECD”) reform of international taxation known as Pillar Two Global Anti-Base Erosion Rules (“GloBE”), which broadly mirrors the Inflation Reduction Act by imposing a 15% global minimum tax on multinational companies. These rules subject multinational companies to three possible tax mechanisms individually known as the Income Inclusion Rule (“IIR”), the Undertaxed Profits Rule (“UTPR”) and the Qualified Domestic Minimum Top-up Tax (“QDMTT”). The rules became effective on January 1, 2025. Based on the countries in which we do business, these rule changes started to negatively impact the Company's effective tax rate beginning in fiscal 2026. On January 5, 2026, the OECD published additional guidance regarding the application of GloBE rules to U.S. parented multinational enterprises ("U.S. MNEs"). Most notably, the agreement excludes U.S. MNEs from the UTPR and IIR; however, QDMTT is still in force based on current legislation and will continue to have a negative impact on the Company's effective tax rate in fiscal 2026 and beyond.</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results are typically affected by seasonal trends. During the first fiscal quarter, we typically build inventory for the winter and holiday season. In the second fiscal quarter, working capital requirements are reduced substantially as we generate higher net sales and operating income, especially during the holiday season.</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Fluctuations in net sales, operating income and operating cash flows of the Company in any fiscal quarter may be affected by the timing of wholesale shipments and other events affecting retail sales, including weather and macroeconomic events.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FISCAL 2026 COMPARED TO SECOND QUARTER FISCAL 2025</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results of operations for the second quarter of fiscal 2026 compared to the second quarter of fiscal 2025. All percentages shown in the table below and the discussion that follows have been calculated using unrounded numbers.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27, 2025</w:t>
            </w:r>
          </w:p>
        </w:tc>
        <w:tc>
          <w:tcPr>
            <w:tcW w:w="2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8"/>
                <w:szCs w:val="18"/>
                <w:color w:val="auto"/>
                <w:w w:val="98"/>
              </w:rPr>
              <w:t>December 28, 2024</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color w:val="auto"/>
              </w:rPr>
              <w:t>Variance</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00" w:type="dxa"/>
            <w:vAlign w:val="bottom"/>
            <w:gridSpan w:val="2"/>
          </w:tcPr>
          <w:p>
            <w:pPr>
              <w:jc w:val="center"/>
              <w:ind w:right="80"/>
              <w:spacing w:after="0" w:line="199" w:lineRule="exact"/>
              <w:rPr>
                <w:sz w:val="20"/>
                <w:szCs w:val="20"/>
                <w:color w:val="auto"/>
              </w:rPr>
            </w:pPr>
            <w:r>
              <w:rPr>
                <w:rFonts w:ascii="Times New Roman" w:cs="Times New Roman" w:eastAsia="Times New Roman" w:hAnsi="Times New Roman"/>
                <w:sz w:val="18"/>
                <w:szCs w:val="18"/>
                <w:b w:val="1"/>
                <w:bCs w:val="1"/>
                <w:color w:val="auto"/>
              </w:rPr>
              <w:t>% of</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100"/>
              <w:spacing w:after="0" w:line="199" w:lineRule="exact"/>
              <w:rPr>
                <w:sz w:val="20"/>
                <w:szCs w:val="20"/>
                <w:color w:val="auto"/>
              </w:rPr>
            </w:pPr>
            <w:r>
              <w:rPr>
                <w:rFonts w:ascii="Times New Roman" w:cs="Times New Roman" w:eastAsia="Times New Roman" w:hAnsi="Times New Roman"/>
                <w:sz w:val="18"/>
                <w:szCs w:val="18"/>
                <w:color w:val="auto"/>
                <w:w w:val="98"/>
              </w:rPr>
              <w:t>% of</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Pr>
          <w:p>
            <w:pPr>
              <w:spacing w:after="0"/>
              <w:rPr>
                <w:sz w:val="21"/>
                <w:szCs w:val="21"/>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spacing w:after="0"/>
              <w:rPr>
                <w:sz w:val="21"/>
                <w:szCs w:val="21"/>
                <w:color w:val="auto"/>
              </w:rPr>
            </w:pPr>
          </w:p>
        </w:tc>
        <w:tc>
          <w:tcPr>
            <w:tcW w:w="1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9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2,502.4</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2,195.4</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1,888.4</w:t>
            </w:r>
          </w:p>
        </w:tc>
        <w:tc>
          <w:tcPr>
            <w:tcW w:w="100" w:type="dxa"/>
            <w:vAlign w:val="bottom"/>
          </w:tcPr>
          <w:p>
            <w:pPr>
              <w:spacing w:after="0"/>
              <w:rPr>
                <w:sz w:val="19"/>
                <w:szCs w:val="19"/>
                <w:color w:val="auto"/>
              </w:rPr>
            </w:pP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75.5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1,633.1</w:t>
            </w:r>
          </w:p>
        </w:tc>
        <w:tc>
          <w:tcPr>
            <w:tcW w:w="10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1,172.0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46.8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716.4</w:t>
            </w:r>
          </w:p>
        </w:tc>
        <w:tc>
          <w:tcPr>
            <w:tcW w:w="100" w:type="dxa"/>
            <w:vAlign w:val="bottom"/>
          </w:tcPr>
          <w:p>
            <w:pPr>
              <w:spacing w:after="0"/>
              <w:rPr>
                <w:sz w:val="19"/>
                <w:szCs w:val="19"/>
                <w:color w:val="auto"/>
              </w:rPr>
            </w:pP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28.6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10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100" w:type="dxa"/>
            <w:vAlign w:val="bottom"/>
          </w:tcPr>
          <w:p>
            <w:pPr>
              <w:spacing w:after="0"/>
              <w:rPr>
                <w:sz w:val="19"/>
                <w:szCs w:val="19"/>
                <w:color w:val="auto"/>
              </w:rPr>
            </w:pP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0.7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0.1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135.8</w:t>
            </w:r>
          </w:p>
        </w:tc>
        <w:tc>
          <w:tcPr>
            <w:tcW w:w="100" w:type="dxa"/>
            <w:vAlign w:val="bottom"/>
          </w:tcPr>
          <w:p>
            <w:pPr>
              <w:spacing w:after="0"/>
              <w:rPr>
                <w:sz w:val="19"/>
                <w:szCs w:val="19"/>
                <w:color w:val="auto"/>
              </w:rPr>
            </w:pP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22.4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38"/>
        </w:trPr>
        <w:tc>
          <w:tcPr>
            <w:tcW w:w="2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2.68</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3798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5" w:name="page36"/>
    <w:bookmarkEnd w:id="35"/>
    <w:p>
      <w:pPr>
        <w:ind w:left="40"/>
        <w:spacing w:after="0"/>
        <w:rPr>
          <w:sz w:val="20"/>
          <w:szCs w:val="20"/>
          <w:color w:val="auto"/>
        </w:rPr>
      </w:pPr>
      <w:r>
        <w:rPr>
          <w:rFonts w:ascii="Times New Roman" w:cs="Times New Roman" w:eastAsia="Times New Roman" w:hAnsi="Times New Roman"/>
          <w:sz w:val="18"/>
          <w:szCs w:val="18"/>
          <w:b w:val="1"/>
          <w:bCs w:val="1"/>
          <w:color w:val="auto"/>
        </w:rPr>
        <w:t>GAAP to Non-GAAP Reconciliation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reported results are presented in accordance with accounting principles generally accepted in the United States of America ("GAAP"). The reported results during the second quarter of fiscal 2026 and fiscal 2025 reflect certain items which affect the comparability of our results, as noted in the following table. Refer to "Non-GAAP Measures" herein for further discussion on the Non-GAAP measures.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Second Quarter Fiscal 2026 Items</w:t>
            </w: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385"/>
        </w:trPr>
        <w:tc>
          <w:tcPr>
            <w:tcW w:w="2600" w:type="dxa"/>
            <w:vAlign w:val="bottom"/>
            <w:tcBorders>
              <w:top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27, 2025</w:t>
            </w: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223"/>
        </w:trPr>
        <w:tc>
          <w:tcPr>
            <w:tcW w:w="26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Items Affecting Comparability</w:t>
            </w: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r>
      <w:tr>
        <w:trPr>
          <w:trHeight w:val="169"/>
        </w:trPr>
        <w:tc>
          <w:tcPr>
            <w:tcW w:w="26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rPr>
              <w:t>GAAP Basis</w:t>
            </w:r>
          </w:p>
        </w:tc>
        <w:tc>
          <w:tcPr>
            <w:tcW w:w="140" w:type="dxa"/>
            <w:vAlign w:val="bottom"/>
          </w:tcPr>
          <w:p>
            <w:pPr>
              <w:spacing w:after="0"/>
              <w:rPr>
                <w:sz w:val="14"/>
                <w:szCs w:val="14"/>
                <w:color w:val="auto"/>
              </w:rPr>
            </w:pPr>
          </w:p>
        </w:tc>
        <w:tc>
          <w:tcPr>
            <w:tcW w:w="162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rPr>
              <w:t>Acquisition and</w:t>
            </w:r>
          </w:p>
        </w:tc>
        <w:tc>
          <w:tcPr>
            <w:tcW w:w="120" w:type="dxa"/>
            <w:vAlign w:val="bottom"/>
          </w:tcPr>
          <w:p>
            <w:pPr>
              <w:spacing w:after="0"/>
              <w:rPr>
                <w:sz w:val="14"/>
                <w:szCs w:val="14"/>
                <w:color w:val="auto"/>
              </w:rPr>
            </w:pPr>
          </w:p>
        </w:tc>
        <w:tc>
          <w:tcPr>
            <w:tcW w:w="15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Organizational</w:t>
            </w:r>
          </w:p>
        </w:tc>
        <w:tc>
          <w:tcPr>
            <w:tcW w:w="140" w:type="dxa"/>
            <w:vAlign w:val="bottom"/>
          </w:tcPr>
          <w:p>
            <w:pPr>
              <w:spacing w:after="0"/>
              <w:rPr>
                <w:sz w:val="14"/>
                <w:szCs w:val="14"/>
                <w:color w:val="auto"/>
              </w:rPr>
            </w:pPr>
          </w:p>
        </w:tc>
        <w:tc>
          <w:tcPr>
            <w:tcW w:w="158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Non-GAAP Basis</w:t>
            </w:r>
          </w:p>
        </w:tc>
      </w:tr>
      <w:tr>
        <w:trPr>
          <w:trHeight w:val="241"/>
        </w:trPr>
        <w:tc>
          <w:tcPr>
            <w:tcW w:w="26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(As Reported)</w:t>
            </w: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Divestiture Costs</w:t>
            </w: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Efficiency Costs</w:t>
            </w: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(Excluding Items)</w:t>
            </w:r>
          </w:p>
        </w:tc>
      </w:tr>
      <w:tr>
        <w:trPr>
          <w:trHeight w:val="192"/>
        </w:trPr>
        <w:tc>
          <w:tcPr>
            <w:tcW w:w="26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6"/>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846.5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846.5</w:t>
            </w: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(143.3)</w:t>
            </w:r>
          </w:p>
        </w:tc>
      </w:tr>
      <w:tr>
        <w:trPr>
          <w:trHeight w:val="223"/>
        </w:trPr>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716.4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719.8</w:t>
            </w: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37"/>
        </w:trPr>
        <w:tc>
          <w:tcPr>
            <w:tcW w:w="26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spacing w:after="0"/>
              <w:rPr>
                <w:sz w:val="20"/>
                <w:szCs w:val="20"/>
                <w:color w:val="auto"/>
              </w:rPr>
            </w:pPr>
          </w:p>
        </w:tc>
      </w:tr>
      <w:tr>
        <w:trPr>
          <w:trHeight w:val="223"/>
        </w:trPr>
        <w:tc>
          <w:tcPr>
            <w:tcW w:w="4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561.3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564.7</w:t>
            </w:r>
          </w:p>
        </w:tc>
      </w:tr>
      <w:tr>
        <w:trPr>
          <w:trHeight w:val="248"/>
        </w:trPr>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diluted common share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second quarter of fiscal 2026, the Company incurred charges as follows:</w:t>
      </w:r>
    </w:p>
    <w:p>
      <w:pPr>
        <w:spacing w:after="0" w:line="115" w:lineRule="exact"/>
        <w:rPr>
          <w:sz w:val="20"/>
          <w:szCs w:val="20"/>
          <w:color w:val="auto"/>
        </w:rPr>
      </w:pPr>
    </w:p>
    <w:p>
      <w:pPr>
        <w:ind w:left="660" w:hanging="328"/>
        <w:spacing w:after="0" w:line="284"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Acquisition and Divestiture </w:t>
      </w:r>
      <w:r>
        <w:rPr>
          <w:rFonts w:ascii="Times New Roman" w:cs="Times New Roman" w:eastAsia="Times New Roman" w:hAnsi="Times New Roman"/>
          <w:sz w:val="18"/>
          <w:szCs w:val="18"/>
          <w:color w:val="auto"/>
        </w:rPr>
        <w:t>- Total pre-tax income of $0.8 million related to the Stuart Weitzman Business Divestiture primarily due to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Transition Services Agreement with the Purchaser ("TSA"), partially offset by professional fees.</w:t>
      </w:r>
    </w:p>
    <w:p>
      <w:pPr>
        <w:spacing w:after="0" w:line="5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Organizational Efficiency Costs </w:t>
      </w:r>
      <w:r>
        <w:rPr>
          <w:rFonts w:ascii="Times New Roman" w:cs="Times New Roman" w:eastAsia="Times New Roman" w:hAnsi="Times New Roman"/>
          <w:sz w:val="18"/>
          <w:szCs w:val="18"/>
          <w:color w:val="auto"/>
        </w:rPr>
        <w:t>- Total pre-tax charges of $4.2 million primarily related to technology costs.</w:t>
      </w:r>
    </w:p>
    <w:p>
      <w:pPr>
        <w:spacing w:after="0" w:line="1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These actions negatively impacted operating income by $3.4 million and net income by $3.4 million or $0.01 per diluted share.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Segment Data</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85"/>
        </w:trPr>
        <w:tc>
          <w:tcPr>
            <w:tcW w:w="2180" w:type="dxa"/>
            <w:vAlign w:val="bottom"/>
            <w:tcBorders>
              <w:top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27, 2025</w:t>
            </w: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223"/>
        </w:trPr>
        <w:tc>
          <w:tcPr>
            <w:tcW w:w="21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Items Affecting Comparability</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r>
      <w:tr>
        <w:trPr>
          <w:trHeight w:val="169"/>
        </w:trPr>
        <w:tc>
          <w:tcPr>
            <w:tcW w:w="21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rPr>
              <w:t>GAAP Basis</w:t>
            </w:r>
          </w:p>
        </w:tc>
        <w:tc>
          <w:tcPr>
            <w:tcW w:w="140" w:type="dxa"/>
            <w:vAlign w:val="bottom"/>
          </w:tcPr>
          <w:p>
            <w:pPr>
              <w:spacing w:after="0"/>
              <w:rPr>
                <w:sz w:val="14"/>
                <w:szCs w:val="14"/>
                <w:color w:val="auto"/>
              </w:rPr>
            </w:pPr>
          </w:p>
        </w:tc>
        <w:tc>
          <w:tcPr>
            <w:tcW w:w="158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Acquisition and</w:t>
            </w:r>
          </w:p>
        </w:tc>
        <w:tc>
          <w:tcPr>
            <w:tcW w:w="140" w:type="dxa"/>
            <w:vAlign w:val="bottom"/>
          </w:tcPr>
          <w:p>
            <w:pPr>
              <w:spacing w:after="0"/>
              <w:rPr>
                <w:sz w:val="14"/>
                <w:szCs w:val="14"/>
                <w:color w:val="auto"/>
              </w:rPr>
            </w:pPr>
          </w:p>
        </w:tc>
        <w:tc>
          <w:tcPr>
            <w:tcW w:w="152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Organizational</w:t>
            </w:r>
          </w:p>
        </w:tc>
        <w:tc>
          <w:tcPr>
            <w:tcW w:w="140" w:type="dxa"/>
            <w:vAlign w:val="bottom"/>
          </w:tcPr>
          <w:p>
            <w:pPr>
              <w:spacing w:after="0"/>
              <w:rPr>
                <w:sz w:val="14"/>
                <w:szCs w:val="14"/>
                <w:color w:val="auto"/>
              </w:rPr>
            </w:pPr>
          </w:p>
        </w:tc>
        <w:tc>
          <w:tcPr>
            <w:tcW w:w="162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Non-GAAP Basis</w:t>
            </w:r>
          </w:p>
        </w:tc>
      </w:tr>
      <w:tr>
        <w:trPr>
          <w:trHeight w:val="241"/>
        </w:trPr>
        <w:tc>
          <w:tcPr>
            <w:tcW w:w="21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(As Reported)</w:t>
            </w: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Divestiture Costs</w:t>
            </w: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Efficiency Costs</w:t>
            </w: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(Excluding Items)</w:t>
            </w:r>
          </w:p>
        </w:tc>
      </w:tr>
      <w:tr>
        <w:trPr>
          <w:trHeight w:val="192"/>
        </w:trPr>
        <w:tc>
          <w:tcPr>
            <w:tcW w:w="21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40" w:type="dxa"/>
            <w:vAlign w:val="bottom"/>
            <w:gridSpan w:val="5"/>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36"/>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822.5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822.5</w:t>
            </w:r>
          </w:p>
        </w:tc>
      </w:tr>
      <w:tr>
        <w:trPr>
          <w:trHeight w:val="23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202.8</w:t>
            </w:r>
          </w:p>
        </w:tc>
      </w:tr>
      <w:tr>
        <w:trPr>
          <w:trHeight w:val="230"/>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143.3</w:t>
            </w:r>
          </w:p>
        </w:tc>
      </w:tr>
      <w:tr>
        <w:trPr>
          <w:trHeight w:val="223"/>
        </w:trPr>
        <w:tc>
          <w:tcPr>
            <w:tcW w:w="45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SG&amp;A expenses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1,172.0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1,168.6</w:t>
            </w:r>
          </w:p>
        </w:tc>
      </w:tr>
      <w:tr>
        <w:trPr>
          <w:trHeight w:val="20"/>
        </w:trPr>
        <w:tc>
          <w:tcPr>
            <w:tcW w:w="2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844"/>
        </w:trPr>
        <w:tc>
          <w:tcPr>
            <w:tcW w:w="21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15"/>
        </w:trPr>
        <w:tc>
          <w:tcPr>
            <w:tcW w:w="218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 Fiscal 2025 Items</w:t>
            </w: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385"/>
        </w:trPr>
        <w:tc>
          <w:tcPr>
            <w:tcW w:w="2460" w:type="dxa"/>
            <w:vAlign w:val="bottom"/>
            <w:tcBorders>
              <w:top w:val="single" w:sz="8" w:color="auto"/>
            </w:tcBorders>
          </w:tcPr>
          <w:p>
            <w:pPr>
              <w:spacing w:after="0"/>
              <w:rPr>
                <w:sz w:val="24"/>
                <w:szCs w:val="24"/>
                <w:color w:val="auto"/>
              </w:rPr>
            </w:pPr>
          </w:p>
        </w:tc>
        <w:tc>
          <w:tcPr>
            <w:tcW w:w="28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gridSpan w:val="8"/>
          </w:tcPr>
          <w:p>
            <w:pPr>
              <w:jc w:val="center"/>
              <w:ind w:right="170"/>
              <w:spacing w:after="0"/>
              <w:rPr>
                <w:sz w:val="20"/>
                <w:szCs w:val="20"/>
                <w:color w:val="auto"/>
              </w:rPr>
            </w:pPr>
            <w:r>
              <w:rPr>
                <w:rFonts w:ascii="Times New Roman" w:cs="Times New Roman" w:eastAsia="Times New Roman" w:hAnsi="Times New Roman"/>
                <w:sz w:val="18"/>
                <w:szCs w:val="18"/>
                <w:color w:val="auto"/>
              </w:rPr>
              <w:t>Three Months Ended December 28, 2024</w:t>
            </w:r>
          </w:p>
        </w:tc>
      </w:tr>
      <w:tr>
        <w:trPr>
          <w:trHeight w:val="223"/>
        </w:trPr>
        <w:tc>
          <w:tcPr>
            <w:tcW w:w="24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6"/>
          </w:tcPr>
          <w:p>
            <w:pPr>
              <w:jc w:val="center"/>
              <w:ind w:right="10"/>
              <w:spacing w:after="0"/>
              <w:rPr>
                <w:sz w:val="20"/>
                <w:szCs w:val="20"/>
                <w:color w:val="auto"/>
              </w:rPr>
            </w:pPr>
            <w:r>
              <w:rPr>
                <w:rFonts w:ascii="Times New Roman" w:cs="Times New Roman" w:eastAsia="Times New Roman" w:hAnsi="Times New Roman"/>
                <w:sz w:val="18"/>
                <w:szCs w:val="18"/>
                <w:color w:val="auto"/>
                <w:w w:val="99"/>
              </w:rPr>
              <w:t>Items Affecting Comparability</w:t>
            </w:r>
          </w:p>
        </w:tc>
        <w:tc>
          <w:tcPr>
            <w:tcW w:w="1760" w:type="dxa"/>
            <w:vAlign w:val="bottom"/>
            <w:tcBorders>
              <w:bottom w:val="single" w:sz="8" w:color="auto"/>
            </w:tcBorders>
          </w:tcPr>
          <w:p>
            <w:pPr>
              <w:spacing w:after="0"/>
              <w:rPr>
                <w:sz w:val="19"/>
                <w:szCs w:val="19"/>
                <w:color w:val="auto"/>
              </w:rPr>
            </w:pPr>
          </w:p>
        </w:tc>
      </w:tr>
      <w:tr>
        <w:trPr>
          <w:trHeight w:val="169"/>
        </w:trPr>
        <w:tc>
          <w:tcPr>
            <w:tcW w:w="24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ind w:right="370"/>
              <w:spacing w:after="0" w:line="169" w:lineRule="exact"/>
              <w:rPr>
                <w:sz w:val="20"/>
                <w:szCs w:val="20"/>
                <w:color w:val="auto"/>
              </w:rPr>
            </w:pPr>
            <w:r>
              <w:rPr>
                <w:rFonts w:ascii="Times New Roman" w:cs="Times New Roman" w:eastAsia="Times New Roman" w:hAnsi="Times New Roman"/>
                <w:sz w:val="18"/>
                <w:szCs w:val="18"/>
                <w:color w:val="auto"/>
              </w:rPr>
              <w:t>GAAP Basis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color w:val="auto"/>
              </w:rPr>
              <w:t>Non-GAAP Basis</w:t>
            </w:r>
          </w:p>
        </w:tc>
      </w:tr>
      <w:tr>
        <w:trPr>
          <w:trHeight w:val="243"/>
        </w:trPr>
        <w:tc>
          <w:tcPr>
            <w:tcW w:w="246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(As Reported)</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Acquisition Costs</w:t>
            </w:r>
          </w:p>
        </w:tc>
        <w:tc>
          <w:tcPr>
            <w:tcW w:w="2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(Excluding Items)</w:t>
            </w:r>
          </w:p>
        </w:tc>
      </w:tr>
      <w:tr>
        <w:trPr>
          <w:trHeight w:val="189"/>
        </w:trPr>
        <w:tc>
          <w:tcPr>
            <w:tcW w:w="24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(millions, except per share data)</w:t>
            </w:r>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37"/>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w:t>
            </w:r>
          </w:p>
        </w:tc>
      </w:tr>
      <w:tr>
        <w:trPr>
          <w:trHeight w:val="23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29"/>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 Weitzman</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5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w:t>
            </w:r>
          </w:p>
        </w:tc>
      </w:tr>
      <w:tr>
        <w:trPr>
          <w:trHeight w:val="248"/>
        </w:trPr>
        <w:tc>
          <w:tcPr>
            <w:tcW w:w="53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w:t>
            </w:r>
          </w:p>
        </w:tc>
      </w:tr>
      <w:tr>
        <w:trPr>
          <w:trHeight w:val="20"/>
        </w:trPr>
        <w:tc>
          <w:tcPr>
            <w:tcW w:w="530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460" w:type="dxa"/>
            <w:vAlign w:val="bottom"/>
            <w:tcBorders>
              <w:bottom w:val="single" w:sz="8" w:color="CCEEFF"/>
            </w:tcBorders>
          </w:tcPr>
          <w:p>
            <w:pPr>
              <w:spacing w:after="0"/>
              <w:rPr>
                <w:sz w:val="18"/>
                <w:szCs w:val="18"/>
                <w:color w:val="auto"/>
              </w:rPr>
            </w:pPr>
          </w:p>
        </w:tc>
        <w:tc>
          <w:tcPr>
            <w:tcW w:w="28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r>
      <w:tr>
        <w:trPr>
          <w:trHeight w:val="223"/>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w:t>
            </w:r>
          </w:p>
        </w:tc>
      </w:tr>
      <w:tr>
        <w:trPr>
          <w:trHeight w:val="223"/>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per diluted common share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
        </w:trPr>
        <w:tc>
          <w:tcPr>
            <w:tcW w:w="2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second quarter of fiscal 2025, the Company incurred charges as follows:</w:t>
      </w:r>
    </w:p>
    <w:p>
      <w:pPr>
        <w:spacing w:after="0" w:line="11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Acquisition Costs </w:t>
      </w:r>
      <w:r>
        <w:rPr>
          <w:rFonts w:ascii="Times New Roman" w:cs="Times New Roman" w:eastAsia="Times New Roman" w:hAnsi="Times New Roman"/>
          <w:sz w:val="18"/>
          <w:szCs w:val="18"/>
          <w:color w:val="auto"/>
        </w:rPr>
        <w:t>- Total pre-tax charges of $197.6 million attributable to the Capri Acquisition. These charges include:</w:t>
      </w:r>
    </w:p>
    <w:p>
      <w:pPr>
        <w:spacing w:after="0" w:line="117" w:lineRule="exact"/>
        <w:rPr>
          <w:rFonts w:ascii="Times New Roman" w:cs="Times New Roman" w:eastAsia="Times New Roman" w:hAnsi="Times New Roman"/>
          <w:sz w:val="18"/>
          <w:szCs w:val="18"/>
          <w:i w:val="1"/>
          <w:iCs w:val="1"/>
          <w:color w:val="auto"/>
        </w:rPr>
      </w:pPr>
    </w:p>
    <w:p>
      <w:pPr>
        <w:jc w:val="both"/>
        <w:ind w:left="1300" w:hanging="320"/>
        <w:spacing w:after="0" w:line="267" w:lineRule="auto"/>
        <w:tabs>
          <w:tab w:leader="none" w:pos="131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Loss on extinguishment of debt - </w:t>
      </w:r>
      <w:r>
        <w:rPr>
          <w:rFonts w:ascii="Times New Roman" w:cs="Times New Roman" w:eastAsia="Times New Roman" w:hAnsi="Times New Roman"/>
          <w:sz w:val="18"/>
          <w:szCs w:val="18"/>
          <w:color w:val="auto"/>
        </w:rPr>
        <w:t>$119.4 million primarily related to redemption premiums, as well as unamortized debt issuance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discounts, as a result of the redemption of the Capri Acquisition Senior Notes in the second quarter of fiscal 2025 due to the termination of the Capri Acquisition agreement;</w:t>
      </w:r>
    </w:p>
    <w:p>
      <w:pPr>
        <w:spacing w:after="0" w:line="65" w:lineRule="exact"/>
        <w:rPr>
          <w:rFonts w:ascii="Times New Roman" w:cs="Times New Roman" w:eastAsia="Times New Roman" w:hAnsi="Times New Roman"/>
          <w:sz w:val="18"/>
          <w:szCs w:val="18"/>
          <w:color w:val="auto"/>
        </w:rPr>
      </w:pPr>
    </w:p>
    <w:p>
      <w:pPr>
        <w:ind w:left="1300" w:right="20" w:hanging="320"/>
        <w:spacing w:after="0" w:line="284" w:lineRule="auto"/>
        <w:tabs>
          <w:tab w:leader="none" w:pos="129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SG&amp;A expenses - </w:t>
      </w:r>
      <w:r>
        <w:rPr>
          <w:rFonts w:ascii="Times New Roman" w:cs="Times New Roman" w:eastAsia="Times New Roman" w:hAnsi="Times New Roman"/>
          <w:sz w:val="18"/>
          <w:szCs w:val="18"/>
          <w:color w:val="auto"/>
        </w:rPr>
        <w:t>$55.4 million primarily related to expense reimbursement payment made to Capri and professional fees recorded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w:t>
      </w:r>
    </w:p>
    <w:p>
      <w:pPr>
        <w:spacing w:after="0" w:line="50" w:lineRule="exact"/>
        <w:rPr>
          <w:rFonts w:ascii="Times New Roman" w:cs="Times New Roman" w:eastAsia="Times New Roman" w:hAnsi="Times New Roman"/>
          <w:sz w:val="18"/>
          <w:szCs w:val="18"/>
          <w:color w:val="auto"/>
        </w:rPr>
      </w:pPr>
    </w:p>
    <w:p>
      <w:pPr>
        <w:ind w:left="1300" w:hanging="320"/>
        <w:spacing w:after="0" w:line="284" w:lineRule="auto"/>
        <w:tabs>
          <w:tab w:leader="none" w:pos="1296" w:val="left"/>
        </w:tabs>
        <w:numPr>
          <w:ilvl w:val="1"/>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Interest expense, net - </w:t>
      </w:r>
      <w:r>
        <w:rPr>
          <w:rFonts w:ascii="Times New Roman" w:cs="Times New Roman" w:eastAsia="Times New Roman" w:hAnsi="Times New Roman"/>
          <w:sz w:val="18"/>
          <w:szCs w:val="18"/>
          <w:color w:val="auto"/>
        </w:rPr>
        <w:t>$22.8 million of financing related charges which primarily includes the net impact of the Capri Acquisition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w:t>
      </w:r>
    </w:p>
    <w:p>
      <w:pPr>
        <w:spacing w:after="0" w:line="52" w:lineRule="exact"/>
        <w:rPr>
          <w:sz w:val="20"/>
          <w:szCs w:val="20"/>
          <w:color w:val="auto"/>
        </w:rPr>
      </w:pPr>
    </w:p>
    <w:p>
      <w:pPr>
        <w:jc w:val="both"/>
        <w:ind w:firstLine="266"/>
        <w:spacing w:after="0" w:line="266" w:lineRule="auto"/>
        <w:rPr>
          <w:sz w:val="20"/>
          <w:szCs w:val="20"/>
          <w:color w:val="auto"/>
        </w:rPr>
      </w:pPr>
      <w:r>
        <w:rPr>
          <w:rFonts w:ascii="Times New Roman" w:cs="Times New Roman" w:eastAsia="Times New Roman" w:hAnsi="Times New Roman"/>
          <w:sz w:val="18"/>
          <w:szCs w:val="18"/>
          <w:color w:val="auto"/>
        </w:rPr>
        <w:t>These actions taken together negatively impacted operating income by $55.4 million, increased Loss on extinguishment of debt by $119.4 million, increased interest expense by $22.8 million and reduced the provision for income tax by $57.8 million resulting in a net decrease in net income by $139.8 million or $0.62 per diluted share.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Segment Data</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85"/>
        </w:trPr>
        <w:tc>
          <w:tcPr>
            <w:tcW w:w="2060" w:type="dxa"/>
            <w:vAlign w:val="bottom"/>
            <w:tcBorders>
              <w:top w:val="single" w:sz="8" w:color="auto"/>
            </w:tcBorders>
          </w:tcPr>
          <w:p>
            <w:pPr>
              <w:spacing w:after="0"/>
              <w:rPr>
                <w:sz w:val="24"/>
                <w:szCs w:val="24"/>
                <w:color w:val="auto"/>
              </w:rPr>
            </w:pPr>
          </w:p>
        </w:tc>
        <w:tc>
          <w:tcPr>
            <w:tcW w:w="34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gridSpan w:val="7"/>
          </w:tcPr>
          <w:p>
            <w:pPr>
              <w:jc w:val="center"/>
              <w:ind w:right="190"/>
              <w:spacing w:after="0"/>
              <w:rPr>
                <w:sz w:val="20"/>
                <w:szCs w:val="20"/>
                <w:color w:val="auto"/>
              </w:rPr>
            </w:pPr>
            <w:r>
              <w:rPr>
                <w:rFonts w:ascii="Times New Roman" w:cs="Times New Roman" w:eastAsia="Times New Roman" w:hAnsi="Times New Roman"/>
                <w:sz w:val="18"/>
                <w:szCs w:val="18"/>
                <w:color w:val="auto"/>
              </w:rPr>
              <w:t>Three Months Ended December 28, 2024</w:t>
            </w:r>
          </w:p>
        </w:tc>
      </w:tr>
      <w:tr>
        <w:trPr>
          <w:trHeight w:val="223"/>
        </w:trPr>
        <w:tc>
          <w:tcPr>
            <w:tcW w:w="20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9"/>
              </w:rPr>
              <w:t>Items Affecting Comparability</w:t>
            </w:r>
          </w:p>
        </w:tc>
        <w:tc>
          <w:tcPr>
            <w:tcW w:w="1680" w:type="dxa"/>
            <w:vAlign w:val="bottom"/>
            <w:tcBorders>
              <w:bottom w:val="single" w:sz="8" w:color="auto"/>
            </w:tcBorders>
          </w:tcPr>
          <w:p>
            <w:pPr>
              <w:spacing w:after="0"/>
              <w:rPr>
                <w:sz w:val="19"/>
                <w:szCs w:val="19"/>
                <w:color w:val="auto"/>
              </w:rPr>
            </w:pPr>
          </w:p>
        </w:tc>
      </w:tr>
      <w:tr>
        <w:trPr>
          <w:trHeight w:val="169"/>
        </w:trPr>
        <w:tc>
          <w:tcPr>
            <w:tcW w:w="20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color w:val="auto"/>
              </w:rPr>
              <w:t>GAAP Basis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color w:val="auto"/>
              </w:rPr>
              <w:t>Non-GAAP Basis</w:t>
            </w:r>
          </w:p>
        </w:tc>
      </w:tr>
      <w:tr>
        <w:trPr>
          <w:trHeight w:val="243"/>
        </w:trPr>
        <w:tc>
          <w:tcPr>
            <w:tcW w:w="206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(As Reported)</w:t>
            </w: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Acquisition Costs</w:t>
            </w: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(Excluding Items)</w:t>
            </w:r>
          </w:p>
        </w:tc>
      </w:tr>
      <w:tr>
        <w:trPr>
          <w:trHeight w:val="189"/>
        </w:trPr>
        <w:tc>
          <w:tcPr>
            <w:tcW w:w="20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(millions)</w:t>
            </w: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37"/>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w:t>
            </w:r>
          </w:p>
        </w:tc>
      </w:tr>
      <w:tr>
        <w:trPr>
          <w:trHeight w:val="230"/>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r>
      <w:tr>
        <w:trPr>
          <w:trHeight w:val="229"/>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 Weitzman</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30"/>
        </w:trPr>
        <w:tc>
          <w:tcPr>
            <w:tcW w:w="5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w:t>
            </w:r>
          </w:p>
        </w:tc>
      </w:tr>
      <w:tr>
        <w:trPr>
          <w:trHeight w:val="248"/>
        </w:trPr>
        <w:tc>
          <w:tcPr>
            <w:tcW w:w="54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SG&amp;A expenses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1,084.9</w:t>
            </w: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825"/>
        </w:trPr>
        <w:tc>
          <w:tcPr>
            <w:tcW w:w="20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206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Tapestry, Inc. Summary – Second Quarter of Fiscal 2026</w:t>
      </w:r>
    </w:p>
    <w:p>
      <w:pPr>
        <w:spacing w:after="0" w:line="1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Currency Fluctuation Effects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change in Net sales for the second quarter of fiscal 2026 compared to the second quarter of fiscal 2025 has been presented both including and excluding currency fluctuation effects. All percentages shown in the tables below and the discussion that follows have been calculated using unrounded numbers.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Stuart Weitzman Business Divestiture</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Effective in the first quarter of fiscal 2026, following the Stuart Weitzman Business Divestiture on August 4, 2025, the Company's reportable segments are Coach and Kate Spade.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4"/>
                <w:szCs w:val="24"/>
                <w:color w:val="auto"/>
              </w:rPr>
            </w:pPr>
          </w:p>
        </w:tc>
        <w:tc>
          <w:tcPr>
            <w:tcW w:w="170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December 27,</w:t>
            </w:r>
          </w:p>
        </w:tc>
        <w:tc>
          <w:tcPr>
            <w:tcW w:w="1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113"/>
              <w:spacing w:after="0" w:line="169" w:lineRule="exact"/>
              <w:rPr>
                <w:sz w:val="20"/>
                <w:szCs w:val="20"/>
                <w:color w:val="auto"/>
              </w:rPr>
            </w:pPr>
            <w:r>
              <w:rPr>
                <w:rFonts w:ascii="Times New Roman" w:cs="Times New Roman" w:eastAsia="Times New Roman" w:hAnsi="Times New Roman"/>
                <w:sz w:val="18"/>
                <w:szCs w:val="18"/>
                <w:color w:val="auto"/>
              </w:rPr>
              <w:t>December 28,</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20" w:type="dxa"/>
            <w:vAlign w:val="bottom"/>
            <w:tcBorders>
              <w:top w:val="single" w:sz="8" w:color="auto"/>
            </w:tcBorders>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4"/>
                <w:szCs w:val="14"/>
                <w:color w:val="auto"/>
              </w:rPr>
            </w:pPr>
          </w:p>
        </w:tc>
        <w:tc>
          <w:tcPr>
            <w:tcW w:w="15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Constant Currency</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2"/>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0" w:type="dxa"/>
            <w:vAlign w:val="bottom"/>
          </w:tcPr>
          <w:p>
            <w:pPr>
              <w:spacing w:after="0"/>
              <w:rPr>
                <w:sz w:val="1"/>
                <w:szCs w:val="1"/>
                <w:color w:val="auto"/>
              </w:rPr>
            </w:pPr>
          </w:p>
        </w:tc>
      </w:tr>
      <w:tr>
        <w:trPr>
          <w:trHeight w:val="190"/>
        </w:trPr>
        <w:tc>
          <w:tcPr>
            <w:tcW w:w="3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2,142.4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433.1</w:t>
            </w:r>
          </w:p>
        </w:tc>
        <w:tc>
          <w:tcPr>
            <w:tcW w:w="620" w:type="dxa"/>
            <w:vAlign w:val="bottom"/>
            <w:shd w:val="clear" w:color="auto" w:fill="CCEEFF"/>
          </w:tcPr>
          <w:p>
            <w:pPr>
              <w:spacing w:after="0"/>
              <w:rPr>
                <w:sz w:val="20"/>
                <w:szCs w:val="20"/>
                <w:color w:val="auto"/>
              </w:rPr>
            </w:pPr>
          </w:p>
        </w:tc>
        <w:tc>
          <w:tcPr>
            <w:tcW w:w="1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7"/>
              </w:rPr>
              <w:t>25.3 %</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25.3 %</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(56.4)</w:t>
            </w:r>
          </w:p>
        </w:tc>
        <w:tc>
          <w:tcPr>
            <w:tcW w:w="6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(69.7)</w:t>
            </w:r>
          </w:p>
        </w:tc>
        <w:tc>
          <w:tcPr>
            <w:tcW w:w="6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NM</w:t>
            </w:r>
          </w:p>
        </w:tc>
        <w:tc>
          <w:tcPr>
            <w:tcW w:w="158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23"/>
        </w:trPr>
        <w:tc>
          <w:tcPr>
            <w:tcW w:w="34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Tapestry</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2,502.4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307.0</w:t>
            </w:r>
          </w:p>
        </w:tc>
        <w:tc>
          <w:tcPr>
            <w:tcW w:w="620" w:type="dxa"/>
            <w:vAlign w:val="bottom"/>
          </w:tcPr>
          <w:p>
            <w:pPr>
              <w:spacing w:after="0"/>
              <w:rPr>
                <w:sz w:val="19"/>
                <w:szCs w:val="19"/>
                <w:color w:val="auto"/>
              </w:rPr>
            </w:pPr>
          </w:p>
        </w:tc>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15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sales in the second quarter of fiscal 2026 increased 14.0% or $307.0 million to $2.50 billion. Excluding the impact of the Stuart Weitzman Business and foreign currency, net sales increased by 17.7% or $375.8 million.</w:t>
      </w:r>
    </w:p>
    <w:p>
      <w:pPr>
        <w:spacing w:after="0" w:line="52" w:lineRule="exact"/>
        <w:rPr>
          <w:sz w:val="20"/>
          <w:szCs w:val="20"/>
          <w:color w:val="auto"/>
        </w:rPr>
      </w:pPr>
    </w:p>
    <w:p>
      <w:pPr>
        <w:jc w:val="both"/>
        <w:ind w:left="660" w:hanging="328"/>
        <w:spacing w:after="0" w:line="267" w:lineRule="auto"/>
        <w:tabs>
          <w:tab w:leader="none" w:pos="655"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Coach Net sales </w:t>
      </w:r>
      <w:r>
        <w:rPr>
          <w:rFonts w:ascii="Times New Roman" w:cs="Times New Roman" w:eastAsia="Times New Roman" w:hAnsi="Times New Roman"/>
          <w:sz w:val="18"/>
          <w:szCs w:val="18"/>
          <w:color w:val="auto"/>
        </w:rPr>
        <w:t>increased 25.3% or $433.1 million to $2.14 billion in the second quarter of fiscal 2026. Excluding the impact of 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sales increased 25.3% or $432.3 million. This increase in Net sales was primarily due to an increase of $373.6 million in DTC sales, mainly driven by North America, Greater China and Europe.</w:t>
      </w:r>
    </w:p>
    <w:p>
      <w:pPr>
        <w:spacing w:after="0" w:line="65"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5"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Kate Spade Net sales </w:t>
      </w:r>
      <w:r>
        <w:rPr>
          <w:rFonts w:ascii="Times New Roman" w:cs="Times New Roman" w:eastAsia="Times New Roman" w:hAnsi="Times New Roman"/>
          <w:sz w:val="18"/>
          <w:szCs w:val="18"/>
          <w:color w:val="auto"/>
        </w:rPr>
        <w:t>decreased 13.6% or $56.4 million to $360.0 million in the second quarter of fiscal 2026. Excluding the impact of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Net sales decreased 13.6% or $56.5 million. This decrease in Net sales was primarily due to a decrease of $54.0 million in DTC sales.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65"/>
        </w:trPr>
        <w:tc>
          <w:tcPr>
            <w:tcW w:w="2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23"/>
        </w:trPr>
        <w:tc>
          <w:tcPr>
            <w:tcW w:w="2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December 27, 2025</w:t>
            </w:r>
          </w:p>
        </w:tc>
        <w:tc>
          <w:tcPr>
            <w:tcW w:w="2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8"/>
                <w:szCs w:val="18"/>
                <w:color w:val="auto"/>
              </w:rPr>
              <w:t>December 28, 2024</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900" w:type="dxa"/>
            <w:vAlign w:val="bottom"/>
            <w:tcBorders>
              <w:bottom w:val="single" w:sz="8" w:color="auto"/>
            </w:tcBorders>
          </w:tcPr>
          <w:p>
            <w:pPr>
              <w:spacing w:after="0"/>
              <w:rPr>
                <w:sz w:val="19"/>
                <w:szCs w:val="19"/>
                <w:color w:val="auto"/>
              </w:rPr>
            </w:pPr>
          </w:p>
        </w:tc>
      </w:tr>
      <w:tr>
        <w:trPr>
          <w:trHeight w:val="184"/>
        </w:trPr>
        <w:tc>
          <w:tcPr>
            <w:tcW w:w="2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2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2"/>
        </w:trPr>
        <w:tc>
          <w:tcPr>
            <w:tcW w:w="2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 of Net sales</w:t>
            </w:r>
          </w:p>
        </w:tc>
        <w:tc>
          <w:tcPr>
            <w:tcW w:w="240" w:type="dxa"/>
            <w:vAlign w:val="bottom"/>
          </w:tcPr>
          <w:p>
            <w:pPr>
              <w:spacing w:after="0"/>
              <w:rPr>
                <w:sz w:val="21"/>
                <w:szCs w:val="21"/>
                <w:color w:val="auto"/>
              </w:rPr>
            </w:pP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Amount</w:t>
            </w:r>
          </w:p>
        </w:tc>
        <w:tc>
          <w:tcPr>
            <w:tcW w:w="80" w:type="dxa"/>
            <w:vAlign w:val="bottom"/>
          </w:tcPr>
          <w:p>
            <w:pPr>
              <w:spacing w:after="0"/>
              <w:rPr>
                <w:sz w:val="21"/>
                <w:szCs w:val="21"/>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of Net sales</w:t>
            </w:r>
          </w:p>
        </w:tc>
        <w:tc>
          <w:tcPr>
            <w:tcW w:w="240" w:type="dxa"/>
            <w:vAlign w:val="bottom"/>
          </w:tcPr>
          <w:p>
            <w:pPr>
              <w:spacing w:after="0"/>
              <w:rPr>
                <w:sz w:val="21"/>
                <w:szCs w:val="21"/>
                <w:color w:val="auto"/>
              </w:rPr>
            </w:pPr>
          </w:p>
        </w:tc>
        <w:tc>
          <w:tcPr>
            <w:tcW w:w="1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9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1,669.0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77.9 %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1,318.3</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77.1 %</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350.7</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26.6 %</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219.4</w:t>
            </w:r>
          </w:p>
        </w:tc>
        <w:tc>
          <w:tcPr>
            <w:tcW w:w="15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4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65.7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(54.2)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(19.8)</w:t>
            </w: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4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59.1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6"/>
              </w:rPr>
              <w:t>NM</w:t>
            </w:r>
          </w:p>
        </w:tc>
      </w:tr>
      <w:tr>
        <w:trPr>
          <w:trHeight w:val="223"/>
        </w:trPr>
        <w:tc>
          <w:tcPr>
            <w:tcW w:w="26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Tapestry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1,888.4</w:t>
            </w:r>
          </w:p>
        </w:tc>
        <w:tc>
          <w:tcPr>
            <w:tcW w:w="15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75.5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1,633.1</w:t>
            </w:r>
          </w:p>
        </w:tc>
        <w:tc>
          <w:tcPr>
            <w:tcW w:w="14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74.4</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255.3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15.6</w:t>
            </w:r>
          </w:p>
        </w:tc>
      </w:tr>
      <w:tr>
        <w:trPr>
          <w:trHeight w:val="20"/>
        </w:trPr>
        <w:tc>
          <w:tcPr>
            <w:tcW w:w="2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Gross profit increased 15.6% or $255.3 million to $1.89 billion in the second quarter of fiscal 2026 from $1.63 billion in the second quarter of fiscal 2025. Gross margin increased 110 basis points to 75.5% in the second quarter of fiscal 2026 from 74.4% in the second quarter of fiscal 2025, which includes a 50 basis point benefit from the divestiture of Stuart Weitzman. The remaining 60 basis point increase in Gross margin was primarily attributed to net pricing improvements, favorable brand mix, partially offset by the impact of higher tariffs. Refer to "Current Macroeconomic Conditions and Outlook" for further information.</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includes inbound product-related transportation costs from our service providers within Cost of sales. The Company, similar to some companies, includes certain transportation-related costs due to our distribution network in SG&amp;A expenses rather than in Cost of sales; for this reason, our gross margins may not be comparable to that of entities that include all costs related to their distribution network in Cost of sales.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8"/>
        </w:trPr>
        <w:tc>
          <w:tcPr>
            <w:tcW w:w="556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 ("SG&amp;A")</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64"/>
        </w:trPr>
        <w:tc>
          <w:tcPr>
            <w:tcW w:w="2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23"/>
        </w:trPr>
        <w:tc>
          <w:tcPr>
            <w:tcW w:w="2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27, 2025</w:t>
            </w:r>
          </w:p>
        </w:tc>
        <w:tc>
          <w:tcPr>
            <w:tcW w:w="24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8"/>
                <w:szCs w:val="18"/>
                <w:color w:val="auto"/>
              </w:rPr>
              <w:t>December 28, 2024</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900" w:type="dxa"/>
            <w:vAlign w:val="bottom"/>
            <w:tcBorders>
              <w:bottom w:val="single" w:sz="8" w:color="auto"/>
            </w:tcBorders>
          </w:tcPr>
          <w:p>
            <w:pPr>
              <w:spacing w:after="0"/>
              <w:rPr>
                <w:sz w:val="19"/>
                <w:szCs w:val="19"/>
                <w:color w:val="auto"/>
              </w:rPr>
            </w:pPr>
          </w:p>
        </w:tc>
      </w:tr>
      <w:tr>
        <w:trPr>
          <w:trHeight w:val="184"/>
        </w:trPr>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2"/>
        </w:trPr>
        <w:tc>
          <w:tcPr>
            <w:tcW w:w="2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of Net sales</w:t>
            </w:r>
          </w:p>
        </w:tc>
        <w:tc>
          <w:tcPr>
            <w:tcW w:w="240" w:type="dxa"/>
            <w:vAlign w:val="bottom"/>
          </w:tcPr>
          <w:p>
            <w:pPr>
              <w:spacing w:after="0"/>
              <w:rPr>
                <w:sz w:val="21"/>
                <w:szCs w:val="21"/>
                <w:color w:val="auto"/>
              </w:rPr>
            </w:pP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Amount</w:t>
            </w:r>
          </w:p>
        </w:tc>
        <w:tc>
          <w:tcPr>
            <w:tcW w:w="80" w:type="dxa"/>
            <w:vAlign w:val="bottom"/>
          </w:tcPr>
          <w:p>
            <w:pPr>
              <w:spacing w:after="0"/>
              <w:rPr>
                <w:sz w:val="21"/>
                <w:szCs w:val="21"/>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of Net sales</w:t>
            </w:r>
          </w:p>
        </w:tc>
        <w:tc>
          <w:tcPr>
            <w:tcW w:w="220" w:type="dxa"/>
            <w:vAlign w:val="bottom"/>
          </w:tcPr>
          <w:p>
            <w:pPr>
              <w:spacing w:after="0"/>
              <w:rPr>
                <w:sz w:val="21"/>
                <w:szCs w:val="21"/>
                <w:color w:val="auto"/>
              </w:rPr>
            </w:pPr>
          </w:p>
        </w:tc>
        <w:tc>
          <w:tcPr>
            <w:tcW w:w="1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9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822.5</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38.4 %</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40.8 %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r>
      <w:tr>
        <w:trPr>
          <w:trHeight w:val="230"/>
        </w:trPr>
        <w:tc>
          <w:tcPr>
            <w:tcW w:w="2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Kate Spade</w:t>
            </w:r>
            <w:r>
              <w:rPr>
                <w:rFonts w:ascii="Times New Roman" w:cs="Times New Roman" w:eastAsia="Times New Roman" w:hAnsi="Times New Roman"/>
                <w:sz w:val="23"/>
                <w:szCs w:val="23"/>
                <w:b w:val="1"/>
                <w:bCs w:val="1"/>
                <w:color w:val="auto"/>
                <w:vertAlign w:val="superscript"/>
              </w:rPr>
              <w:t>(1)</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203.1</w:t>
            </w:r>
          </w:p>
        </w:tc>
        <w:tc>
          <w:tcPr>
            <w:tcW w:w="1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56.4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5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5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26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Corporate</w:t>
            </w:r>
            <w:r>
              <w:rPr>
                <w:rFonts w:ascii="Times New Roman" w:cs="Times New Roman" w:eastAsia="Times New Roman" w:hAnsi="Times New Roman"/>
                <w:sz w:val="23"/>
                <w:szCs w:val="23"/>
                <w:b w:val="1"/>
                <w:bCs w:val="1"/>
                <w:color w:val="auto"/>
                <w:vertAlign w:val="superscript"/>
              </w:rPr>
              <w:t>(2)(3)</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146.4</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NA</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gridSpan w:val="2"/>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(25.0)</w:t>
            </w:r>
          </w:p>
        </w:tc>
      </w:tr>
      <w:tr>
        <w:trPr>
          <w:trHeight w:val="248"/>
        </w:trPr>
        <w:tc>
          <w:tcPr>
            <w:tcW w:w="2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Tapestry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1,172.0</w:t>
            </w:r>
          </w:p>
        </w:tc>
        <w:tc>
          <w:tcPr>
            <w:tcW w:w="154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46.8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152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SG&amp;A expenses increased 2.8% or $31.7 million to $1.17 billion in the second quarter of fiscal 2026 as compared to $1.14 billion in the second quarter of fiscal 2025. As a percentage of net sales, SG&amp;A expenses decreased to 46.8% during the second quarter of fiscal 2026 from 51.9% during the second quarter of fiscal 2025. Excluding items affecting comparability in the second quarter of fiscal 2026, SG&amp;A expenses increased 7.7% or $83.7 million to $1.17 billion from $1.08 billion in the second quarter of fiscal 2025. SG&amp;A as a percentage of net sales decreased 270 basis points to 46.7% compared to 49.4% during the second quarter of fiscal 2025, which includes a 40 basis point benefit from the divestiture of Stuart Weitzman. The remaining 230 basis point decrease in SG&amp;A as a percentage of net sales was primarily due to leverage of fixed costs on higher net sales, lower distribution costs and lower professional fees, partially offset by higher marketing spend.</w:t>
      </w:r>
    </w:p>
    <w:p>
      <w:pPr>
        <w:spacing w:after="0" w:line="81" w:lineRule="exact"/>
        <w:rPr>
          <w:sz w:val="20"/>
          <w:szCs w:val="20"/>
          <w:color w:val="auto"/>
        </w:rPr>
      </w:pPr>
    </w:p>
    <w:p>
      <w:pPr>
        <w:jc w:val="both"/>
        <w:ind w:left="340" w:hanging="332"/>
        <w:spacing w:after="0" w:line="235" w:lineRule="auto"/>
        <w:tabs>
          <w:tab w:leader="none" w:pos="328"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Excluding items affecting comparability, SG&amp;A expenses decreased 1.3% or $2.8 million to $202.8 million in the second quarter of fiscal 2026 as compared to $205.6 million in the second quarter of fiscal 2025. SG&amp;A as a percentage of net sales increased approximately 710 basis points to 56.4% in the second quarter of fiscal 2026 as compared to 49.3% in the second quarter of fiscal 2025.</w:t>
      </w:r>
    </w:p>
    <w:p>
      <w:pPr>
        <w:spacing w:after="0" w:line="91" w:lineRule="exact"/>
        <w:rPr>
          <w:rFonts w:ascii="Times New Roman" w:cs="Times New Roman" w:eastAsia="Times New Roman" w:hAnsi="Times New Roman"/>
          <w:sz w:val="23"/>
          <w:szCs w:val="23"/>
          <w:color w:val="auto"/>
          <w:vertAlign w:val="superscript"/>
        </w:rPr>
      </w:pPr>
    </w:p>
    <w:p>
      <w:pPr>
        <w:ind w:left="340" w:right="20" w:hanging="332"/>
        <w:spacing w:after="0" w:line="229" w:lineRule="auto"/>
        <w:tabs>
          <w:tab w:leader="none" w:pos="328"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Excluding items affecting comparability, SG&amp;A expenses increased 2.4% or $3.6 million to $143.3 million in the second quarter of fiscal 2026 as compared to $139.7 million in the second quarter of fiscal 2025.</w:t>
      </w:r>
    </w:p>
    <w:p>
      <w:pPr>
        <w:spacing w:after="0" w:line="60"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Corporate expenses, which are included within SG&amp;A expenses discussed above, but are not directly attributable to a reportable segment.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64"/>
        </w:trPr>
        <w:tc>
          <w:tcPr>
            <w:tcW w:w="2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23"/>
        </w:trPr>
        <w:tc>
          <w:tcPr>
            <w:tcW w:w="2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27, 2025</w:t>
            </w:r>
          </w:p>
        </w:tc>
        <w:tc>
          <w:tcPr>
            <w:tcW w:w="24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8"/>
                <w:szCs w:val="18"/>
                <w:color w:val="auto"/>
              </w:rPr>
              <w:t>December 28, 2024</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900" w:type="dxa"/>
            <w:vAlign w:val="bottom"/>
            <w:tcBorders>
              <w:bottom w:val="single" w:sz="8" w:color="auto"/>
            </w:tcBorders>
          </w:tcPr>
          <w:p>
            <w:pPr>
              <w:spacing w:after="0"/>
              <w:rPr>
                <w:sz w:val="19"/>
                <w:szCs w:val="19"/>
                <w:color w:val="auto"/>
              </w:rPr>
            </w:pPr>
          </w:p>
        </w:tc>
      </w:tr>
      <w:tr>
        <w:trPr>
          <w:trHeight w:val="184"/>
        </w:trPr>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2"/>
        </w:trPr>
        <w:tc>
          <w:tcPr>
            <w:tcW w:w="2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of Net Sales</w:t>
            </w:r>
          </w:p>
        </w:tc>
        <w:tc>
          <w:tcPr>
            <w:tcW w:w="240" w:type="dxa"/>
            <w:vAlign w:val="bottom"/>
          </w:tcPr>
          <w:p>
            <w:pPr>
              <w:spacing w:after="0"/>
              <w:rPr>
                <w:sz w:val="21"/>
                <w:szCs w:val="21"/>
                <w:color w:val="auto"/>
              </w:rPr>
            </w:pP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Amount</w:t>
            </w:r>
          </w:p>
        </w:tc>
        <w:tc>
          <w:tcPr>
            <w:tcW w:w="80" w:type="dxa"/>
            <w:vAlign w:val="bottom"/>
          </w:tcPr>
          <w:p>
            <w:pPr>
              <w:spacing w:after="0"/>
              <w:rPr>
                <w:sz w:val="21"/>
                <w:szCs w:val="21"/>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of Net Sales</w:t>
            </w:r>
          </w:p>
        </w:tc>
        <w:tc>
          <w:tcPr>
            <w:tcW w:w="220" w:type="dxa"/>
            <w:vAlign w:val="bottom"/>
          </w:tcPr>
          <w:p>
            <w:pPr>
              <w:spacing w:after="0"/>
              <w:rPr>
                <w:sz w:val="21"/>
                <w:szCs w:val="21"/>
                <w:color w:val="auto"/>
              </w:rPr>
            </w:pPr>
          </w:p>
        </w:tc>
        <w:tc>
          <w:tcPr>
            <w:tcW w:w="1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9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846.5</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39.5 %</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36.4 %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36.3 %</w:t>
            </w: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1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5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(76.0)</w:t>
            </w: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5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6"/>
              </w:rPr>
              <w:t>NM</w:t>
            </w:r>
          </w:p>
        </w:tc>
      </w:tr>
      <w:tr>
        <w:trPr>
          <w:trHeight w:val="230"/>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(146.4)</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NA</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gridSpan w:val="2"/>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25.0</w:t>
            </w:r>
          </w:p>
        </w:tc>
      </w:tr>
      <w:tr>
        <w:trPr>
          <w:trHeight w:val="248"/>
        </w:trPr>
        <w:tc>
          <w:tcPr>
            <w:tcW w:w="2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Tapestry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716.4</w:t>
            </w:r>
          </w:p>
        </w:tc>
        <w:tc>
          <w:tcPr>
            <w:tcW w:w="154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28.6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152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45.4</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Operating income increased $223.6 million to $716.4 million in the second quarter of fiscal 2026 as compared to $492.8 million in the second quarter of fiscal 2025. Operating margin increased to 28.6% in the second quarter of fiscal 2026 as compared to 22.4% in the second quarter of fiscal 2025. Excluding items affecting comparability, operating income increased $171.6 million to $719.8 million in the second quarter of fiscal 2026 from $548.2 million in the second quarter of fiscal 2025. Operating margin increased approximately 390 basis points to 28.8% in the second quarter of fiscal 2026 as compared to 24.9% in the second quarter of fiscal 2025, which includes a 90 basis point benefit from the divestiture of Stuart Weitzman. The remaining increase in operating margin was primarily attributed to a 60 basis point increase in Gross margin and a 230 basis point decrease in SG&amp;A as a percentage of sales.</w:t>
      </w:r>
    </w:p>
    <w:p>
      <w:pPr>
        <w:spacing w:after="0" w:line="79" w:lineRule="exact"/>
        <w:rPr>
          <w:sz w:val="20"/>
          <w:szCs w:val="20"/>
          <w:color w:val="auto"/>
        </w:rPr>
      </w:pPr>
    </w:p>
    <w:p>
      <w:pPr>
        <w:jc w:val="both"/>
        <w:ind w:left="660" w:hanging="328"/>
        <w:spacing w:after="0" w:line="267" w:lineRule="auto"/>
        <w:tabs>
          <w:tab w:leader="none" w:pos="655"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Coach Operating Income </w:t>
      </w:r>
      <w:r>
        <w:rPr>
          <w:rFonts w:ascii="Times New Roman" w:cs="Times New Roman" w:eastAsia="Times New Roman" w:hAnsi="Times New Roman"/>
          <w:sz w:val="18"/>
          <w:szCs w:val="18"/>
          <w:color w:val="auto"/>
        </w:rPr>
        <w:t>increased $225.6 million to $846.5 million in the second quarter of fiscal 2026, resulting in an operating margin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approximately 310 basis points to 39.5% in the second quarter of fiscal 2026 as compared to 36.4% in the second quarter of fiscal 2025. This increase in operating margin was primarily attributed to:</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9" w:name="page40"/>
    <w:bookmarkEnd w:id="39"/>
    <w:p>
      <w:pPr>
        <w:ind w:left="1300" w:hanging="320"/>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increased 80 basis points mainly due to net pricing improvements, partially offset by the impact of higher tariffs;</w:t>
      </w:r>
    </w:p>
    <w:p>
      <w:pPr>
        <w:spacing w:after="0" w:line="117" w:lineRule="exact"/>
        <w:rPr>
          <w:rFonts w:ascii="Times New Roman" w:cs="Times New Roman" w:eastAsia="Times New Roman" w:hAnsi="Times New Roman"/>
          <w:sz w:val="18"/>
          <w:szCs w:val="18"/>
          <w:color w:val="auto"/>
        </w:rPr>
      </w:pPr>
    </w:p>
    <w:p>
      <w:pPr>
        <w:ind w:left="1300" w:hanging="320"/>
        <w:spacing w:after="0" w:line="284" w:lineRule="auto"/>
        <w:tabs>
          <w:tab w:leader="none" w:pos="131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SG&amp;A expenses as a percentage of net sales</w:t>
      </w:r>
      <w:r>
        <w:rPr>
          <w:rFonts w:ascii="Times New Roman" w:cs="Times New Roman" w:eastAsia="Times New Roman" w:hAnsi="Times New Roman"/>
          <w:sz w:val="18"/>
          <w:szCs w:val="18"/>
          <w:color w:val="auto"/>
        </w:rPr>
        <w:t>, decreased 240 basis points mainly due to leverage of fixed costs on higher net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distribution costs, partially offset by higher marketing spend.</w:t>
      </w:r>
    </w:p>
    <w:p>
      <w:pPr>
        <w:spacing w:after="0" w:line="50"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Kate Spade Operating Income </w:t>
      </w:r>
      <w:r>
        <w:rPr>
          <w:rFonts w:ascii="Times New Roman" w:cs="Times New Roman" w:eastAsia="Times New Roman" w:hAnsi="Times New Roman"/>
          <w:sz w:val="18"/>
          <w:szCs w:val="18"/>
          <w:color w:val="auto"/>
        </w:rPr>
        <w:t>decreased $51.7 million to $16.3 million in the second quarter of fiscal 2026. Operating margin decreased to 4.5%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second quarter of fiscal 2026 as compared to 16.4% in the second quarter of fiscal 2025. Excluding items affecting comparability, operating income decreased $51.4 million to $16.6 million in the second quarter of fiscal 2026 from $68.0 million in the second quarter of fiscal 2025; and operating margin decreased approximately 1,180 basis points to 4.6% in the second quarter of fiscal 2026 as compared to 16.4% in the second quarter of fiscal 2025. This decrease in operating margin was primarily attributed to:</w:t>
      </w:r>
    </w:p>
    <w:p>
      <w:pPr>
        <w:spacing w:after="0" w:line="75" w:lineRule="exact"/>
        <w:rPr>
          <w:rFonts w:ascii="Times New Roman" w:cs="Times New Roman" w:eastAsia="Times New Roman" w:hAnsi="Times New Roman"/>
          <w:sz w:val="18"/>
          <w:szCs w:val="18"/>
          <w:i w:val="1"/>
          <w:iCs w:val="1"/>
          <w:color w:val="auto"/>
        </w:rPr>
      </w:pPr>
    </w:p>
    <w:p>
      <w:pPr>
        <w:ind w:left="1300" w:hanging="320"/>
        <w:spacing w:after="0" w:line="284" w:lineRule="auto"/>
        <w:tabs>
          <w:tab w:leader="none" w:pos="129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Gross margin</w:t>
      </w:r>
      <w:r>
        <w:rPr>
          <w:rFonts w:ascii="Times New Roman" w:cs="Times New Roman" w:eastAsia="Times New Roman" w:hAnsi="Times New Roman"/>
          <w:sz w:val="18"/>
          <w:szCs w:val="18"/>
          <w:color w:val="auto"/>
        </w:rPr>
        <w:t>, decreased 470 basis points mainly due to the impact of higher tariffs and unfavorable channel mix, partially offset by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improvements;</w:t>
      </w:r>
    </w:p>
    <w:p>
      <w:pPr>
        <w:spacing w:after="0" w:line="50" w:lineRule="exact"/>
        <w:rPr>
          <w:rFonts w:ascii="Times New Roman" w:cs="Times New Roman" w:eastAsia="Times New Roman" w:hAnsi="Times New Roman"/>
          <w:sz w:val="18"/>
          <w:szCs w:val="18"/>
          <w:color w:val="auto"/>
        </w:rPr>
      </w:pPr>
    </w:p>
    <w:p>
      <w:pPr>
        <w:ind w:left="1300" w:hanging="320"/>
        <w:spacing w:after="0" w:line="284" w:lineRule="auto"/>
        <w:tabs>
          <w:tab w:leader="none" w:pos="131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SG&amp;A expenses as a percentage of net sales, </w:t>
      </w:r>
      <w:r>
        <w:rPr>
          <w:rFonts w:ascii="Times New Roman" w:cs="Times New Roman" w:eastAsia="Times New Roman" w:hAnsi="Times New Roman"/>
          <w:sz w:val="18"/>
          <w:szCs w:val="18"/>
          <w:color w:val="auto"/>
        </w:rPr>
        <w:t>increased approximately 710 basis points mainly driven by higher marketing spend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deleverage of fixed costs on lower net sales.</w:t>
      </w:r>
    </w:p>
    <w:p>
      <w:pPr>
        <w:spacing w:after="0" w:line="50"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Operating Expenses </w:t>
      </w:r>
      <w:r>
        <w:rPr>
          <w:rFonts w:ascii="Times New Roman" w:cs="Times New Roman" w:eastAsia="Times New Roman" w:hAnsi="Times New Roman"/>
          <w:sz w:val="18"/>
          <w:szCs w:val="18"/>
          <w:color w:val="auto"/>
        </w:rPr>
        <w:t>decreased 25.0% or $48.7 million to $146.4 million in the second quarter of fiscal 2026. Excluding items affecting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comparability, Corporate operating expenses increased $3.6 million to $143.3 million from $139.7 million in the second quarter of fiscal 2025.</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on Extinguishment of Debt</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Loss on extinguishment of debt decreased $120.1 million to $0.0 million in the second quarter of fiscal 2026 as compared to $120.1 million in the second quarter of fiscal 2025. Excluding items affecting comparability, Loss on extinguishment of debt decreased $0.7 million to $0.0 million in the second quarter of fiscal 2026 as compared to $0.7 million in the second quarter of fiscal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interest expense decreased $7.1 million to $17.4 million in the second quarter of fiscal 2026 as compared to $24.5 million in the second quarter of fiscal 2025. Excluding items affecting comparability, net interest expense increased $15.7 million to $17.4 million from interest expense of $1.7 million in the second quarter of fiscal 2025. This increase in Interest expense, net, was mainly due to an increase in interest expense as a result of the issuance of the 2030 and 2035 Senior Notes and lower interest income.</w:t>
      </w:r>
    </w:p>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Other Expense (Income)</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Other expense decreased $1.0 million to $1.9 million in the second quarter of fiscal 2026 as compared to Other expense of $2.9 million in the second quarter of fiscal 2025. This decrease in other expense was related to a decrease in foreign exchange losses.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Provision (Benefit) for Income Taxes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effective tax rate was 19.5% in the second quarter of fiscal 2026 as compared to 10.1% in the second quarter of fiscal 2025. Excluding items affecting comparability, the effective tax rate was 19.4% in the second quarter of fiscal 2026 as compared to 17.1% in the second quarter of fiscal 2025. The increase in effective tax rate was primarily attributable to the impact of Pillar Two and the impact of discrete items compared to the prior year period.</w:t>
      </w:r>
    </w:p>
    <w:p>
      <w:pPr>
        <w:spacing w:after="0" w:line="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income increased 80.9% or $250.9 million to $561.3 million in the second quarter of fiscal 2026 as compared to $310.4 million in the second quarter of fiscal 2025. Excluding items affecting comparability, net income increased $114.5 million to $564.7 million in the second quarter of fiscal 2026 from $450.2 million in the second quarter of fiscal 2025.</w:t>
      </w:r>
    </w:p>
    <w:p>
      <w:pPr>
        <w:spacing w:after="0" w:line="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income per diluted share was $2.68 in the second quarter of fiscal 2026 as compared to net income per diluted share of $1.38 in the second quarter of fiscal 2025. Excluding items affecting comparability, net income per diluted share increased $0.69 to $2.69 in the second quarter of fiscal 2026 from $2.00 in the second quarter of fiscal 2025, primarily due to higher net income and a decrease in shares outstanding.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8"/>
          <w:szCs w:val="18"/>
          <w:b w:val="1"/>
          <w:bCs w:val="1"/>
          <w:color w:val="auto"/>
        </w:rPr>
        <w:t>FIRST SIX MONTHS FISCAL 2026 COMPARED TO FIRST SIX MONTHS FISCAL 2025</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results of operations for the first six months of fiscal 2026 compared to the first six months of fiscal 2025. All percentages shown in the table below and the discussion that follows have been calculated using unrounded numbers.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27, 2025</w:t>
            </w:r>
          </w:p>
        </w:tc>
        <w:tc>
          <w:tcPr>
            <w:tcW w:w="2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8"/>
                <w:szCs w:val="18"/>
                <w:color w:val="auto"/>
              </w:rPr>
              <w:t>December 28, 2024</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color w:val="auto"/>
              </w:rPr>
              <w:t>Variance</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40" w:type="dxa"/>
            <w:vAlign w:val="bottom"/>
            <w:gridSpan w:val="2"/>
          </w:tcPr>
          <w:p>
            <w:pPr>
              <w:jc w:val="center"/>
              <w:ind w:right="120"/>
              <w:spacing w:after="0" w:line="204"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120"/>
              <w:spacing w:after="0" w:line="204" w:lineRule="exact"/>
              <w:rPr>
                <w:sz w:val="20"/>
                <w:szCs w:val="20"/>
                <w:color w:val="auto"/>
              </w:rPr>
            </w:pPr>
            <w:r>
              <w:rPr>
                <w:rFonts w:ascii="Times New Roman" w:cs="Times New Roman" w:eastAsia="Times New Roman" w:hAnsi="Times New Roman"/>
                <w:sz w:val="18"/>
                <w:szCs w:val="18"/>
                <w:color w:val="auto"/>
                <w:w w:val="98"/>
              </w:rPr>
              <w:t>% of</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net sales</w:t>
            </w: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spacing w:after="0"/>
              <w:rPr>
                <w:sz w:val="20"/>
                <w:szCs w:val="20"/>
                <w:color w:val="auto"/>
              </w:rPr>
            </w:pPr>
          </w:p>
        </w:tc>
        <w:tc>
          <w:tcPr>
            <w:tcW w:w="1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9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4,207.0</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3,702.9</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3,188.9</w:t>
            </w:r>
          </w:p>
        </w:tc>
        <w:tc>
          <w:tcPr>
            <w:tcW w:w="100" w:type="dxa"/>
            <w:vAlign w:val="bottom"/>
          </w:tcPr>
          <w:p>
            <w:pPr>
              <w:spacing w:after="0"/>
              <w:rPr>
                <w:sz w:val="19"/>
                <w:szCs w:val="19"/>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2,768.0</w:t>
            </w:r>
          </w:p>
        </w:tc>
        <w:tc>
          <w:tcPr>
            <w:tcW w:w="12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2,144.3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2,023.2</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1,044.6</w:t>
            </w:r>
          </w:p>
        </w:tc>
        <w:tc>
          <w:tcPr>
            <w:tcW w:w="100" w:type="dxa"/>
            <w:vAlign w:val="bottom"/>
          </w:tcPr>
          <w:p>
            <w:pPr>
              <w:spacing w:after="0"/>
              <w:rPr>
                <w:sz w:val="19"/>
                <w:szCs w:val="19"/>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12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100" w:type="dxa"/>
            <w:vAlign w:val="bottom"/>
          </w:tcPr>
          <w:p>
            <w:pPr>
              <w:spacing w:after="0"/>
              <w:rPr>
                <w:sz w:val="19"/>
                <w:szCs w:val="19"/>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6"/>
              </w:rPr>
              <w:t>(45.3)</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179.7</w:t>
            </w:r>
          </w:p>
        </w:tc>
        <w:tc>
          <w:tcPr>
            <w:tcW w:w="100" w:type="dxa"/>
            <w:vAlign w:val="bottom"/>
          </w:tcPr>
          <w:p>
            <w:pPr>
              <w:spacing w:after="0"/>
              <w:rPr>
                <w:sz w:val="19"/>
                <w:szCs w:val="19"/>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836.1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38"/>
        </w:trPr>
        <w:tc>
          <w:tcPr>
            <w:tcW w:w="2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3.93</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3798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3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1" w:name="page42"/>
    <w:bookmarkEnd w:id="41"/>
    <w:p>
      <w:pPr>
        <w:ind w:left="40"/>
        <w:spacing w:after="0"/>
        <w:rPr>
          <w:sz w:val="20"/>
          <w:szCs w:val="20"/>
          <w:color w:val="auto"/>
        </w:rPr>
      </w:pPr>
      <w:r>
        <w:rPr>
          <w:rFonts w:ascii="Times New Roman" w:cs="Times New Roman" w:eastAsia="Times New Roman" w:hAnsi="Times New Roman"/>
          <w:sz w:val="18"/>
          <w:szCs w:val="18"/>
          <w:b w:val="1"/>
          <w:bCs w:val="1"/>
          <w:color w:val="auto"/>
        </w:rPr>
        <w:t>GAAP to Non-GAAP Reconciliation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reported results are presented in accordance with GAAP. The reported results during the first six months of fiscal 2026 and fiscal 2025 reflect certain items which affect the comparability of our results, as noted in the following tables. Refer to "Non-GAAP Measures" herein for further discussion on the Non-GAAP measures.</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Stuart Weitzman Business Divestiture</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Effective in the first quarter of fiscal 2026, following the Stuart Weitzman Business Divestiture on August 4, 2025, the Company's reportable segments are Coach and Kate Spade. For the first six months of fiscal 2026, prior to the completion of the sale on August 4, 2025, Stuart Weitzman Net sales were $14.6 million, Gross profit was $7.7 million and SG&amp;A expenses were $8.7 million resulting in an Operating loss of $1.0 million. These results were considered as items affecting comparability in the first six months of fiscal 2026. For the first six months of fiscal 2025, Stuart Weitzman Net sales were $123.4 million, Gross profit was $70.4 million and SG&amp;A expenses were $78.8 million resulting in an Operating loss of $8.4 million. These results were not considered as items affecting comparability in the first six months of fiscal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Six Months of Fiscal 2026 Items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Six Months Ended December 27, 2025</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223"/>
        </w:trPr>
        <w:tc>
          <w:tcPr>
            <w:tcW w:w="4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Items Affecting Comparability</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r>
      <w:tr>
        <w:trPr>
          <w:trHeight w:val="174"/>
        </w:trPr>
        <w:tc>
          <w:tcPr>
            <w:tcW w:w="4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2"/>
          </w:tcPr>
          <w:p>
            <w:pPr>
              <w:jc w:val="center"/>
              <w:ind w:right="300"/>
              <w:spacing w:after="0" w:line="174" w:lineRule="exact"/>
              <w:rPr>
                <w:sz w:val="20"/>
                <w:szCs w:val="20"/>
                <w:color w:val="auto"/>
              </w:rPr>
            </w:pPr>
            <w:r>
              <w:rPr>
                <w:rFonts w:ascii="Times New Roman" w:cs="Times New Roman" w:eastAsia="Times New Roman" w:hAnsi="Times New Roman"/>
                <w:sz w:val="18"/>
                <w:szCs w:val="18"/>
                <w:b w:val="1"/>
                <w:bCs w:val="1"/>
                <w:color w:val="auto"/>
              </w:rPr>
              <w:t>GAAP Basis</w:t>
            </w:r>
          </w:p>
        </w:tc>
        <w:tc>
          <w:tcPr>
            <w:tcW w:w="140" w:type="dxa"/>
            <w:vAlign w:val="bottom"/>
          </w:tcPr>
          <w:p>
            <w:pPr>
              <w:spacing w:after="0"/>
              <w:rPr>
                <w:sz w:val="15"/>
                <w:szCs w:val="15"/>
                <w:color w:val="auto"/>
              </w:rPr>
            </w:pPr>
          </w:p>
        </w:tc>
        <w:tc>
          <w:tcPr>
            <w:tcW w:w="158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rPr>
              <w:t>Acquisition and</w:t>
            </w:r>
          </w:p>
        </w:tc>
        <w:tc>
          <w:tcPr>
            <w:tcW w:w="140" w:type="dxa"/>
            <w:vAlign w:val="bottom"/>
          </w:tcPr>
          <w:p>
            <w:pPr>
              <w:spacing w:after="0"/>
              <w:rPr>
                <w:sz w:val="15"/>
                <w:szCs w:val="15"/>
                <w:color w:val="auto"/>
              </w:rPr>
            </w:pPr>
          </w:p>
        </w:tc>
        <w:tc>
          <w:tcPr>
            <w:tcW w:w="152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9"/>
              </w:rPr>
              <w:t>Organizational</w:t>
            </w:r>
          </w:p>
        </w:tc>
        <w:tc>
          <w:tcPr>
            <w:tcW w:w="160" w:type="dxa"/>
            <w:vAlign w:val="bottom"/>
          </w:tcPr>
          <w:p>
            <w:pPr>
              <w:spacing w:after="0"/>
              <w:rPr>
                <w:sz w:val="15"/>
                <w:szCs w:val="15"/>
                <w:color w:val="auto"/>
              </w:rPr>
            </w:pPr>
          </w:p>
        </w:tc>
        <w:tc>
          <w:tcPr>
            <w:tcW w:w="1600" w:type="dxa"/>
            <w:vAlign w:val="bottom"/>
          </w:tcPr>
          <w:p>
            <w:pPr>
              <w:jc w:val="right"/>
              <w:ind w:right="130"/>
              <w:spacing w:after="0" w:line="174" w:lineRule="exact"/>
              <w:rPr>
                <w:sz w:val="20"/>
                <w:szCs w:val="20"/>
                <w:color w:val="auto"/>
              </w:rPr>
            </w:pPr>
            <w:r>
              <w:rPr>
                <w:rFonts w:ascii="Times New Roman" w:cs="Times New Roman" w:eastAsia="Times New Roman" w:hAnsi="Times New Roman"/>
                <w:sz w:val="18"/>
                <w:szCs w:val="18"/>
                <w:b w:val="1"/>
                <w:bCs w:val="1"/>
                <w:color w:val="auto"/>
              </w:rPr>
              <w:t>Non-GAAP Basis</w:t>
            </w:r>
          </w:p>
        </w:tc>
      </w:tr>
      <w:tr>
        <w:trPr>
          <w:trHeight w:val="238"/>
        </w:trPr>
        <w:tc>
          <w:tcPr>
            <w:tcW w:w="4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(As Reported)</w:t>
            </w: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Divestiture Costs</w:t>
            </w: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Efficiency Costs</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(Excluding Items)</w:t>
            </w:r>
          </w:p>
        </w:tc>
      </w:tr>
      <w:tr>
        <w:trPr>
          <w:trHeight w:val="190"/>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4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3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1,333.9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1,335.1</w:t>
            </w: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 Weitzman</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(283.8)</w:t>
            </w:r>
          </w:p>
        </w:tc>
      </w:tr>
      <w:tr>
        <w:trPr>
          <w:trHeight w:val="248"/>
        </w:trPr>
        <w:tc>
          <w:tcPr>
            <w:tcW w:w="4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1,073.7</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3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861.8</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3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Net income (loss) per diluted common share</w:t>
            </w: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3.93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(0.06)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(0.06)</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4.05</w:t>
            </w:r>
          </w:p>
        </w:tc>
      </w:tr>
      <w:tr>
        <w:trPr>
          <w:trHeight w:val="20"/>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first six months of fiscal 2026, the Company incurred charges as follows:</w:t>
      </w:r>
    </w:p>
    <w:p>
      <w:pPr>
        <w:spacing w:after="0" w:line="115" w:lineRule="exact"/>
        <w:rPr>
          <w:sz w:val="20"/>
          <w:szCs w:val="20"/>
          <w:color w:val="auto"/>
        </w:rPr>
      </w:pPr>
    </w:p>
    <w:p>
      <w:pPr>
        <w:ind w:left="660" w:right="20" w:hanging="328"/>
        <w:spacing w:after="0" w:line="284" w:lineRule="auto"/>
        <w:tabs>
          <w:tab w:leader="none" w:pos="655"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Acquisition and Divestiture </w:t>
      </w:r>
      <w:r>
        <w:rPr>
          <w:rFonts w:ascii="Times New Roman" w:cs="Times New Roman" w:eastAsia="Times New Roman" w:hAnsi="Times New Roman"/>
          <w:sz w:val="18"/>
          <w:szCs w:val="18"/>
          <w:color w:val="auto"/>
        </w:rPr>
        <w:t>- Total pre-tax charges of $13.9 million related to the Stuart Weitzman Business Divestiture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fees and severance costs, partially offset by income from the TSA.</w:t>
      </w:r>
    </w:p>
    <w:p>
      <w:pPr>
        <w:spacing w:after="0" w:line="50"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Organizational Efficiency Costs </w:t>
      </w:r>
      <w:r>
        <w:rPr>
          <w:rFonts w:ascii="Times New Roman" w:cs="Times New Roman" w:eastAsia="Times New Roman" w:hAnsi="Times New Roman"/>
          <w:sz w:val="18"/>
          <w:szCs w:val="18"/>
          <w:color w:val="auto"/>
        </w:rPr>
        <w:t>- Total pre-tax charges of $15.2 million primarily related to technology costs and severance costs.</w:t>
      </w:r>
    </w:p>
    <w:p>
      <w:pPr>
        <w:spacing w:after="0" w:line="119" w:lineRule="exact"/>
        <w:rPr>
          <w:sz w:val="20"/>
          <w:szCs w:val="20"/>
          <w:color w:val="auto"/>
        </w:rPr>
      </w:pPr>
    </w:p>
    <w:p>
      <w:pPr>
        <w:ind w:firstLine="198"/>
        <w:spacing w:after="0" w:line="282" w:lineRule="auto"/>
        <w:rPr>
          <w:sz w:val="20"/>
          <w:szCs w:val="20"/>
          <w:color w:val="auto"/>
        </w:rPr>
      </w:pPr>
      <w:r>
        <w:rPr>
          <w:rFonts w:ascii="Times New Roman" w:cs="Times New Roman" w:eastAsia="Times New Roman" w:hAnsi="Times New Roman"/>
          <w:sz w:val="18"/>
          <w:szCs w:val="18"/>
          <w:color w:val="auto"/>
        </w:rPr>
        <w:t>These actions taken together negatively impacted operating income by $29.1 million and reduced the provision for income tax by $3.4 million resulting in a net decrease in net income by $25.7 million or $0.12 per diluted share.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Segment Data</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85"/>
        </w:trPr>
        <w:tc>
          <w:tcPr>
            <w:tcW w:w="2180" w:type="dxa"/>
            <w:vAlign w:val="bottom"/>
            <w:tcBorders>
              <w:top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 December 27, 2025</w:t>
            </w: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223"/>
        </w:trPr>
        <w:tc>
          <w:tcPr>
            <w:tcW w:w="21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Items Affecting Comparability</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r>
      <w:tr>
        <w:trPr>
          <w:trHeight w:val="169"/>
        </w:trPr>
        <w:tc>
          <w:tcPr>
            <w:tcW w:w="21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rPr>
              <w:t>GAAP Basis</w:t>
            </w:r>
          </w:p>
        </w:tc>
        <w:tc>
          <w:tcPr>
            <w:tcW w:w="140" w:type="dxa"/>
            <w:vAlign w:val="bottom"/>
          </w:tcPr>
          <w:p>
            <w:pPr>
              <w:spacing w:after="0"/>
              <w:rPr>
                <w:sz w:val="14"/>
                <w:szCs w:val="14"/>
                <w:color w:val="auto"/>
              </w:rPr>
            </w:pPr>
          </w:p>
        </w:tc>
        <w:tc>
          <w:tcPr>
            <w:tcW w:w="158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Acquisition and</w:t>
            </w:r>
          </w:p>
        </w:tc>
        <w:tc>
          <w:tcPr>
            <w:tcW w:w="140" w:type="dxa"/>
            <w:vAlign w:val="bottom"/>
          </w:tcPr>
          <w:p>
            <w:pPr>
              <w:spacing w:after="0"/>
              <w:rPr>
                <w:sz w:val="14"/>
                <w:szCs w:val="14"/>
                <w:color w:val="auto"/>
              </w:rPr>
            </w:pPr>
          </w:p>
        </w:tc>
        <w:tc>
          <w:tcPr>
            <w:tcW w:w="152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Organizational</w:t>
            </w:r>
          </w:p>
        </w:tc>
        <w:tc>
          <w:tcPr>
            <w:tcW w:w="140" w:type="dxa"/>
            <w:vAlign w:val="bottom"/>
          </w:tcPr>
          <w:p>
            <w:pPr>
              <w:spacing w:after="0"/>
              <w:rPr>
                <w:sz w:val="14"/>
                <w:szCs w:val="14"/>
                <w:color w:val="auto"/>
              </w:rPr>
            </w:pPr>
          </w:p>
        </w:tc>
        <w:tc>
          <w:tcPr>
            <w:tcW w:w="162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Non-GAAP Basis</w:t>
            </w:r>
          </w:p>
        </w:tc>
      </w:tr>
      <w:tr>
        <w:trPr>
          <w:trHeight w:val="241"/>
        </w:trPr>
        <w:tc>
          <w:tcPr>
            <w:tcW w:w="21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(As Reported)</w:t>
            </w: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Divestiture Costs</w:t>
            </w: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Efficiency Costs</w:t>
            </w: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(Excluding Items)</w:t>
            </w:r>
          </w:p>
        </w:tc>
      </w:tr>
      <w:tr>
        <w:trPr>
          <w:trHeight w:val="192"/>
        </w:trPr>
        <w:tc>
          <w:tcPr>
            <w:tcW w:w="21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40" w:type="dxa"/>
            <w:vAlign w:val="bottom"/>
            <w:gridSpan w:val="5"/>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36"/>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1,461.1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1,459.9</w:t>
            </w:r>
          </w:p>
        </w:tc>
      </w:tr>
      <w:tr>
        <w:trPr>
          <w:trHeight w:val="23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363.8</w:t>
            </w:r>
          </w:p>
        </w:tc>
      </w:tr>
      <w:tr>
        <w:trPr>
          <w:trHeight w:val="230"/>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 Weitzman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4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283.8</w:t>
            </w:r>
          </w:p>
        </w:tc>
      </w:tr>
      <w:tr>
        <w:trPr>
          <w:trHeight w:val="248"/>
        </w:trPr>
        <w:tc>
          <w:tcPr>
            <w:tcW w:w="45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SG&amp;A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2,144.3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2,107.5</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838"/>
        </w:trPr>
        <w:tc>
          <w:tcPr>
            <w:tcW w:w="21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15"/>
        </w:trPr>
        <w:tc>
          <w:tcPr>
            <w:tcW w:w="218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Six Months of Fiscal 2025 Items</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85"/>
        </w:trPr>
        <w:tc>
          <w:tcPr>
            <w:tcW w:w="80" w:type="dxa"/>
            <w:vAlign w:val="bottom"/>
            <w:tcBorders>
              <w:top w:val="single" w:sz="8" w:color="auto"/>
            </w:tcBorders>
          </w:tcPr>
          <w:p>
            <w:pPr>
              <w:spacing w:after="0"/>
              <w:rPr>
                <w:sz w:val="24"/>
                <w:szCs w:val="24"/>
                <w:color w:val="auto"/>
              </w:rPr>
            </w:pPr>
          </w:p>
        </w:tc>
        <w:tc>
          <w:tcPr>
            <w:tcW w:w="2660" w:type="dxa"/>
            <w:vAlign w:val="bottom"/>
            <w:tcBorders>
              <w:top w:val="single" w:sz="8" w:color="auto"/>
            </w:tcBorders>
          </w:tcPr>
          <w:p>
            <w:pPr>
              <w:spacing w:after="0"/>
              <w:rPr>
                <w:sz w:val="24"/>
                <w:szCs w:val="24"/>
                <w:color w:val="auto"/>
              </w:rPr>
            </w:pPr>
          </w:p>
        </w:tc>
        <w:tc>
          <w:tcPr>
            <w:tcW w:w="27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gridSpan w:val="8"/>
          </w:tcPr>
          <w:p>
            <w:pPr>
              <w:jc w:val="center"/>
              <w:ind w:right="150"/>
              <w:spacing w:after="0"/>
              <w:rPr>
                <w:sz w:val="20"/>
                <w:szCs w:val="20"/>
                <w:color w:val="auto"/>
              </w:rPr>
            </w:pPr>
            <w:r>
              <w:rPr>
                <w:rFonts w:ascii="Times New Roman" w:cs="Times New Roman" w:eastAsia="Times New Roman" w:hAnsi="Times New Roman"/>
                <w:sz w:val="18"/>
                <w:szCs w:val="18"/>
                <w:color w:val="auto"/>
                <w:w w:val="99"/>
              </w:rPr>
              <w:t>Six Months Ended December 28, 2024</w:t>
            </w:r>
          </w:p>
        </w:tc>
      </w:tr>
      <w:tr>
        <w:trPr>
          <w:trHeight w:val="223"/>
        </w:trPr>
        <w:tc>
          <w:tcPr>
            <w:tcW w:w="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Items Affecting Comparability</w:t>
            </w:r>
          </w:p>
        </w:tc>
        <w:tc>
          <w:tcPr>
            <w:tcW w:w="1640" w:type="dxa"/>
            <w:vAlign w:val="bottom"/>
            <w:tcBorders>
              <w:bottom w:val="single" w:sz="8" w:color="auto"/>
            </w:tcBorders>
          </w:tcPr>
          <w:p>
            <w:pPr>
              <w:spacing w:after="0"/>
              <w:rPr>
                <w:sz w:val="19"/>
                <w:szCs w:val="19"/>
                <w:color w:val="auto"/>
              </w:rPr>
            </w:pPr>
          </w:p>
        </w:tc>
      </w:tr>
      <w:tr>
        <w:trPr>
          <w:trHeight w:val="169"/>
        </w:trPr>
        <w:tc>
          <w:tcPr>
            <w:tcW w:w="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ind w:right="290"/>
              <w:spacing w:after="0" w:line="169" w:lineRule="exact"/>
              <w:rPr>
                <w:sz w:val="20"/>
                <w:szCs w:val="20"/>
                <w:color w:val="auto"/>
              </w:rPr>
            </w:pPr>
            <w:r>
              <w:rPr>
                <w:rFonts w:ascii="Times New Roman" w:cs="Times New Roman" w:eastAsia="Times New Roman" w:hAnsi="Times New Roman"/>
                <w:sz w:val="18"/>
                <w:szCs w:val="18"/>
                <w:color w:val="auto"/>
              </w:rPr>
              <w:t>GAAP Basis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right"/>
              <w:ind w:right="170"/>
              <w:spacing w:after="0" w:line="169" w:lineRule="exact"/>
              <w:rPr>
                <w:sz w:val="20"/>
                <w:szCs w:val="20"/>
                <w:color w:val="auto"/>
              </w:rPr>
            </w:pPr>
            <w:r>
              <w:rPr>
                <w:rFonts w:ascii="Times New Roman" w:cs="Times New Roman" w:eastAsia="Times New Roman" w:hAnsi="Times New Roman"/>
                <w:sz w:val="18"/>
                <w:szCs w:val="18"/>
                <w:color w:val="auto"/>
              </w:rPr>
              <w:t>Non-GAAP Basis</w:t>
            </w:r>
          </w:p>
        </w:tc>
      </w:tr>
      <w:tr>
        <w:trPr>
          <w:trHeight w:val="243"/>
        </w:trPr>
        <w:tc>
          <w:tcPr>
            <w:tcW w:w="8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(As Reported)</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Acquisition Costs</w:t>
            </w: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(Excluding Items)</w:t>
            </w:r>
          </w:p>
        </w:tc>
      </w:tr>
      <w:tr>
        <w:trPr>
          <w:trHeight w:val="189"/>
        </w:trPr>
        <w:tc>
          <w:tcPr>
            <w:tcW w:w="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(millions, except per share data)</w:t>
            </w: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37"/>
        </w:trPr>
        <w:tc>
          <w:tcPr>
            <w:tcW w:w="80" w:type="dxa"/>
            <w:vAlign w:val="bottom"/>
          </w:tcPr>
          <w:p>
            <w:pPr>
              <w:spacing w:after="0"/>
              <w:rPr>
                <w:sz w:val="20"/>
                <w:szCs w:val="20"/>
                <w:color w:val="auto"/>
              </w:rPr>
            </w:pPr>
          </w:p>
        </w:tc>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1,007.5</w:t>
            </w:r>
          </w:p>
        </w:tc>
        <w:tc>
          <w:tcPr>
            <w:tcW w:w="34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1,007.5</w:t>
            </w:r>
          </w:p>
        </w:tc>
      </w:tr>
      <w:tr>
        <w:trPr>
          <w:trHeight w:val="230"/>
        </w:trPr>
        <w:tc>
          <w:tcPr>
            <w:tcW w:w="80" w:type="dxa"/>
            <w:vAlign w:val="bottom"/>
          </w:tcPr>
          <w:p>
            <w:pPr>
              <w:spacing w:after="0"/>
              <w:rPr>
                <w:sz w:val="19"/>
                <w:szCs w:val="19"/>
                <w:color w:val="auto"/>
              </w:rPr>
            </w:pPr>
          </w:p>
        </w:tc>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29"/>
        </w:trPr>
        <w:tc>
          <w:tcPr>
            <w:tcW w:w="80" w:type="dxa"/>
            <w:vAlign w:val="bottom"/>
          </w:tcPr>
          <w:p>
            <w:pPr>
              <w:spacing w:after="0"/>
              <w:rPr>
                <w:sz w:val="19"/>
                <w:szCs w:val="19"/>
                <w:color w:val="auto"/>
              </w:rPr>
            </w:pPr>
          </w:p>
        </w:tc>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 Weitzman</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80" w:type="dxa"/>
            <w:vAlign w:val="bottom"/>
          </w:tcPr>
          <w:p>
            <w:pPr>
              <w:spacing w:after="0"/>
              <w:rPr>
                <w:sz w:val="19"/>
                <w:szCs w:val="19"/>
                <w:color w:val="auto"/>
              </w:rPr>
            </w:pPr>
          </w:p>
        </w:tc>
        <w:tc>
          <w:tcPr>
            <w:tcW w:w="5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w:t>
            </w:r>
          </w:p>
        </w:tc>
      </w:tr>
      <w:tr>
        <w:trPr>
          <w:trHeight w:val="248"/>
        </w:trPr>
        <w:tc>
          <w:tcPr>
            <w:tcW w:w="80" w:type="dxa"/>
            <w:vAlign w:val="bottom"/>
          </w:tcPr>
          <w:p>
            <w:pPr>
              <w:spacing w:after="0"/>
              <w:rPr>
                <w:sz w:val="21"/>
                <w:szCs w:val="21"/>
                <w:color w:val="auto"/>
              </w:rPr>
            </w:pPr>
          </w:p>
        </w:tc>
        <w:tc>
          <w:tcPr>
            <w:tcW w:w="54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w:t>
            </w:r>
          </w:p>
        </w:tc>
      </w:tr>
      <w:tr>
        <w:trPr>
          <w:trHeight w:val="20"/>
        </w:trPr>
        <w:tc>
          <w:tcPr>
            <w:tcW w:w="80" w:type="dxa"/>
            <w:vAlign w:val="bottom"/>
          </w:tcPr>
          <w:p>
            <w:pPr>
              <w:spacing w:after="0" w:line="20" w:lineRule="exact"/>
              <w:rPr>
                <w:sz w:val="1"/>
                <w:szCs w:val="1"/>
                <w:color w:val="auto"/>
              </w:rPr>
            </w:pPr>
          </w:p>
        </w:tc>
        <w:tc>
          <w:tcPr>
            <w:tcW w:w="544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0" w:type="dxa"/>
            <w:vAlign w:val="bottom"/>
          </w:tcPr>
          <w:p>
            <w:pPr>
              <w:spacing w:after="0"/>
              <w:rPr>
                <w:sz w:val="18"/>
                <w:szCs w:val="18"/>
                <w:color w:val="auto"/>
              </w:rPr>
            </w:pPr>
          </w:p>
        </w:tc>
        <w:tc>
          <w:tcPr>
            <w:tcW w:w="2660" w:type="dxa"/>
            <w:vAlign w:val="bottom"/>
            <w:tcBorders>
              <w:bottom w:val="single" w:sz="8" w:color="CCEEFF"/>
            </w:tcBorders>
          </w:tcPr>
          <w:p>
            <w:pPr>
              <w:spacing w:after="0"/>
              <w:rPr>
                <w:sz w:val="18"/>
                <w:szCs w:val="18"/>
                <w:color w:val="auto"/>
              </w:rPr>
            </w:pPr>
          </w:p>
        </w:tc>
        <w:tc>
          <w:tcPr>
            <w:tcW w:w="27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r>
      <w:tr>
        <w:trPr>
          <w:trHeight w:val="223"/>
        </w:trPr>
        <w:tc>
          <w:tcPr>
            <w:tcW w:w="80" w:type="dxa"/>
            <w:vAlign w:val="bottom"/>
          </w:tcPr>
          <w:p>
            <w:pPr>
              <w:spacing w:after="0"/>
              <w:rPr>
                <w:sz w:val="19"/>
                <w:szCs w:val="19"/>
                <w:color w:val="auto"/>
              </w:rPr>
            </w:pPr>
          </w:p>
        </w:tc>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w:t>
            </w:r>
          </w:p>
        </w:tc>
      </w:tr>
      <w:tr>
        <w:trPr>
          <w:trHeight w:val="223"/>
        </w:trPr>
        <w:tc>
          <w:tcPr>
            <w:tcW w:w="80" w:type="dxa"/>
            <w:vAlign w:val="bottom"/>
          </w:tcPr>
          <w:p>
            <w:pPr>
              <w:spacing w:after="0"/>
              <w:rPr>
                <w:sz w:val="19"/>
                <w:szCs w:val="19"/>
                <w:color w:val="auto"/>
              </w:rPr>
            </w:pPr>
          </w:p>
        </w:tc>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per diluted common share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0"/>
        </w:trPr>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first six months of fiscal 2025, the Company incurred charges as follows:</w:t>
      </w:r>
    </w:p>
    <w:p>
      <w:pPr>
        <w:spacing w:after="0" w:line="115"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Acquisition Costs </w:t>
      </w:r>
      <w:r>
        <w:rPr>
          <w:rFonts w:ascii="Times New Roman" w:cs="Times New Roman" w:eastAsia="Times New Roman" w:hAnsi="Times New Roman"/>
          <w:sz w:val="18"/>
          <w:szCs w:val="18"/>
          <w:color w:val="auto"/>
        </w:rPr>
        <w:t>- Total pre-tax charges of $268.4 million attributable to the Capri Acquisition. These charges include:</w:t>
      </w:r>
    </w:p>
    <w:p>
      <w:pPr>
        <w:spacing w:after="0" w:line="117" w:lineRule="exact"/>
        <w:rPr>
          <w:rFonts w:ascii="Times New Roman" w:cs="Times New Roman" w:eastAsia="Times New Roman" w:hAnsi="Times New Roman"/>
          <w:sz w:val="18"/>
          <w:szCs w:val="18"/>
          <w:color w:val="auto"/>
        </w:rPr>
      </w:pPr>
    </w:p>
    <w:p>
      <w:pPr>
        <w:jc w:val="both"/>
        <w:ind w:left="1300" w:hanging="320"/>
        <w:spacing w:after="0" w:line="267" w:lineRule="auto"/>
        <w:tabs>
          <w:tab w:leader="none" w:pos="131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Loss on extinguishment of debt - </w:t>
      </w:r>
      <w:r>
        <w:rPr>
          <w:rFonts w:ascii="Times New Roman" w:cs="Times New Roman" w:eastAsia="Times New Roman" w:hAnsi="Times New Roman"/>
          <w:sz w:val="18"/>
          <w:szCs w:val="18"/>
          <w:color w:val="auto"/>
        </w:rPr>
        <w:t>$119.4 million primarily related to redemption premiums, as well as unamortized debt issuance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discounts, as a result of the redemption of the Capri Acquisition Senior Notes in the first six months of fiscal 2025 due to the termination of the Capri Acquisition agreement;</w:t>
      </w:r>
    </w:p>
    <w:p>
      <w:pPr>
        <w:spacing w:after="0" w:line="65" w:lineRule="exact"/>
        <w:rPr>
          <w:rFonts w:ascii="Times New Roman" w:cs="Times New Roman" w:eastAsia="Times New Roman" w:hAnsi="Times New Roman"/>
          <w:sz w:val="18"/>
          <w:szCs w:val="18"/>
          <w:color w:val="auto"/>
        </w:rPr>
      </w:pPr>
    </w:p>
    <w:p>
      <w:pPr>
        <w:ind w:left="1300" w:right="20" w:hanging="320"/>
        <w:spacing w:after="0" w:line="284" w:lineRule="auto"/>
        <w:tabs>
          <w:tab w:leader="none" w:pos="129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SG&amp;A expenses - </w:t>
      </w:r>
      <w:r>
        <w:rPr>
          <w:rFonts w:ascii="Times New Roman" w:cs="Times New Roman" w:eastAsia="Times New Roman" w:hAnsi="Times New Roman"/>
          <w:sz w:val="18"/>
          <w:szCs w:val="18"/>
          <w:color w:val="auto"/>
        </w:rPr>
        <w:t>$88.8 million primarily related to expense reimbursement payment made to Capri and professional fees recorded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w:t>
      </w:r>
    </w:p>
    <w:p>
      <w:pPr>
        <w:spacing w:after="0" w:line="50" w:lineRule="exact"/>
        <w:rPr>
          <w:rFonts w:ascii="Times New Roman" w:cs="Times New Roman" w:eastAsia="Times New Roman" w:hAnsi="Times New Roman"/>
          <w:sz w:val="18"/>
          <w:szCs w:val="18"/>
          <w:color w:val="auto"/>
        </w:rPr>
      </w:pPr>
    </w:p>
    <w:p>
      <w:pPr>
        <w:ind w:left="1300" w:hanging="320"/>
        <w:spacing w:after="0" w:line="284" w:lineRule="auto"/>
        <w:tabs>
          <w:tab w:leader="none" w:pos="1296" w:val="left"/>
        </w:tabs>
        <w:numPr>
          <w:ilvl w:val="1"/>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Interest expense, net - </w:t>
      </w:r>
      <w:r>
        <w:rPr>
          <w:rFonts w:ascii="Times New Roman" w:cs="Times New Roman" w:eastAsia="Times New Roman" w:hAnsi="Times New Roman"/>
          <w:sz w:val="18"/>
          <w:szCs w:val="18"/>
          <w:color w:val="auto"/>
        </w:rPr>
        <w:t>$60.2 million of financing related charges which primarily includes the net impact of the Capri Acquisition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w:t>
      </w:r>
    </w:p>
    <w:p>
      <w:pPr>
        <w:spacing w:after="0" w:line="52" w:lineRule="exact"/>
        <w:rPr>
          <w:sz w:val="20"/>
          <w:szCs w:val="20"/>
          <w:color w:val="auto"/>
        </w:rPr>
      </w:pPr>
    </w:p>
    <w:p>
      <w:pPr>
        <w:jc w:val="both"/>
        <w:ind w:firstLine="266"/>
        <w:spacing w:after="0" w:line="266" w:lineRule="auto"/>
        <w:rPr>
          <w:sz w:val="20"/>
          <w:szCs w:val="20"/>
          <w:color w:val="auto"/>
        </w:rPr>
      </w:pPr>
      <w:r>
        <w:rPr>
          <w:rFonts w:ascii="Times New Roman" w:cs="Times New Roman" w:eastAsia="Times New Roman" w:hAnsi="Times New Roman"/>
          <w:sz w:val="18"/>
          <w:szCs w:val="18"/>
          <w:color w:val="auto"/>
        </w:rPr>
        <w:t>These actions taken together negatively impacted operating income by $88.8 million, increased Loss on extinguishment of debt by $119.4 million, increased interest expense by $60.2 million and reduced the provision for income tax by $73.6 million resulting in a net decrease in net income by $194.8 million or $0.85 per diluted share.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Segment Data</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85"/>
        </w:trPr>
        <w:tc>
          <w:tcPr>
            <w:tcW w:w="2060" w:type="dxa"/>
            <w:vAlign w:val="bottom"/>
            <w:tcBorders>
              <w:top w:val="single" w:sz="8" w:color="auto"/>
            </w:tcBorders>
          </w:tcPr>
          <w:p>
            <w:pPr>
              <w:spacing w:after="0"/>
              <w:rPr>
                <w:sz w:val="24"/>
                <w:szCs w:val="24"/>
                <w:color w:val="auto"/>
              </w:rPr>
            </w:pPr>
          </w:p>
        </w:tc>
        <w:tc>
          <w:tcPr>
            <w:tcW w:w="1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80" w:type="dxa"/>
            <w:vAlign w:val="bottom"/>
            <w:gridSpan w:val="8"/>
          </w:tcPr>
          <w:p>
            <w:pPr>
              <w:jc w:val="center"/>
              <w:ind w:right="380"/>
              <w:spacing w:after="0"/>
              <w:rPr>
                <w:sz w:val="20"/>
                <w:szCs w:val="20"/>
                <w:color w:val="auto"/>
              </w:rPr>
            </w:pPr>
            <w:r>
              <w:rPr>
                <w:rFonts w:ascii="Times New Roman" w:cs="Times New Roman" w:eastAsia="Times New Roman" w:hAnsi="Times New Roman"/>
                <w:sz w:val="18"/>
                <w:szCs w:val="18"/>
                <w:color w:val="auto"/>
                <w:w w:val="99"/>
              </w:rPr>
              <w:t>Six Months Ended December 28, 2024</w:t>
            </w:r>
          </w:p>
        </w:tc>
      </w:tr>
      <w:tr>
        <w:trPr>
          <w:trHeight w:val="223"/>
        </w:trPr>
        <w:tc>
          <w:tcPr>
            <w:tcW w:w="20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3620" w:type="dxa"/>
            <w:vAlign w:val="bottom"/>
            <w:tcBorders>
              <w:top w:val="single" w:sz="8" w:color="auto"/>
              <w:bottom w:val="single" w:sz="8" w:color="auto"/>
            </w:tcBorders>
            <w:gridSpan w:val="6"/>
          </w:tcPr>
          <w:p>
            <w:pPr>
              <w:jc w:val="center"/>
              <w:ind w:left="1310"/>
              <w:spacing w:after="0"/>
              <w:rPr>
                <w:sz w:val="20"/>
                <w:szCs w:val="20"/>
                <w:color w:val="auto"/>
              </w:rPr>
            </w:pPr>
            <w:r>
              <w:rPr>
                <w:rFonts w:ascii="Times New Roman" w:cs="Times New Roman" w:eastAsia="Times New Roman" w:hAnsi="Times New Roman"/>
                <w:sz w:val="18"/>
                <w:szCs w:val="18"/>
                <w:color w:val="auto"/>
                <w:w w:val="99"/>
              </w:rPr>
              <w:t>Items Affecting Comparability</w:t>
            </w:r>
          </w:p>
        </w:tc>
        <w:tc>
          <w:tcPr>
            <w:tcW w:w="162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169"/>
        </w:trPr>
        <w:tc>
          <w:tcPr>
            <w:tcW w:w="20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color w:val="auto"/>
              </w:rPr>
              <w:t>GAAP Basis</w:t>
            </w: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color w:val="auto"/>
                <w:w w:val="98"/>
              </w:rPr>
              <w:t>Non-GAAP Basis</w:t>
            </w:r>
          </w:p>
        </w:tc>
        <w:tc>
          <w:tcPr>
            <w:tcW w:w="140" w:type="dxa"/>
            <w:vAlign w:val="bottom"/>
          </w:tcPr>
          <w:p>
            <w:pPr>
              <w:spacing w:after="0"/>
              <w:rPr>
                <w:sz w:val="14"/>
                <w:szCs w:val="14"/>
                <w:color w:val="auto"/>
              </w:rPr>
            </w:pPr>
          </w:p>
        </w:tc>
      </w:tr>
      <w:tr>
        <w:trPr>
          <w:trHeight w:val="243"/>
        </w:trPr>
        <w:tc>
          <w:tcPr>
            <w:tcW w:w="20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(As Reported)</w:t>
            </w:r>
          </w:p>
        </w:tc>
        <w:tc>
          <w:tcPr>
            <w:tcW w:w="140" w:type="dxa"/>
            <w:vAlign w:val="bottom"/>
          </w:tcPr>
          <w:p>
            <w:pPr>
              <w:spacing w:after="0"/>
              <w:rPr>
                <w:sz w:val="21"/>
                <w:szCs w:val="21"/>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Acquisition Costs</w:t>
            </w:r>
          </w:p>
        </w:tc>
        <w:tc>
          <w:tcPr>
            <w:tcW w:w="300" w:type="dxa"/>
            <w:vAlign w:val="bottom"/>
          </w:tcPr>
          <w:p>
            <w:pPr>
              <w:spacing w:after="0"/>
              <w:rPr>
                <w:sz w:val="21"/>
                <w:szCs w:val="21"/>
                <w:color w:val="auto"/>
              </w:rPr>
            </w:pPr>
          </w:p>
        </w:tc>
        <w:tc>
          <w:tcPr>
            <w:tcW w:w="17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8"/>
              </w:rPr>
              <w:t>(Excluding Items)</w:t>
            </w:r>
          </w:p>
        </w:tc>
      </w:tr>
      <w:tr>
        <w:trPr>
          <w:trHeight w:val="189"/>
        </w:trPr>
        <w:tc>
          <w:tcPr>
            <w:tcW w:w="20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(millions)</w:t>
            </w:r>
          </w:p>
        </w:tc>
        <w:tc>
          <w:tcPr>
            <w:tcW w:w="3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37"/>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w:t>
            </w:r>
          </w:p>
        </w:tc>
        <w:tc>
          <w:tcPr>
            <w:tcW w:w="2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1,226.9</w:t>
            </w:r>
          </w:p>
        </w:tc>
        <w:tc>
          <w:tcPr>
            <w:tcW w:w="140" w:type="dxa"/>
            <w:vAlign w:val="bottom"/>
          </w:tcPr>
          <w:p>
            <w:pPr>
              <w:spacing w:after="0"/>
              <w:rPr>
                <w:sz w:val="20"/>
                <w:szCs w:val="20"/>
                <w:color w:val="auto"/>
              </w:rPr>
            </w:pPr>
          </w:p>
        </w:tc>
      </w:tr>
      <w:tr>
        <w:trPr>
          <w:trHeight w:val="230"/>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140" w:type="dxa"/>
            <w:vAlign w:val="bottom"/>
          </w:tcPr>
          <w:p>
            <w:pPr>
              <w:spacing w:after="0"/>
              <w:rPr>
                <w:sz w:val="19"/>
                <w:szCs w:val="19"/>
                <w:color w:val="auto"/>
              </w:rPr>
            </w:pPr>
          </w:p>
        </w:tc>
      </w:tr>
      <w:tr>
        <w:trPr>
          <w:trHeight w:val="230"/>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 Weitzman</w:t>
            </w:r>
          </w:p>
        </w:tc>
        <w:tc>
          <w:tcPr>
            <w:tcW w:w="1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40" w:type="dxa"/>
            <w:vAlign w:val="bottom"/>
          </w:tcPr>
          <w:p>
            <w:pPr>
              <w:spacing w:after="0"/>
              <w:rPr>
                <w:sz w:val="19"/>
                <w:szCs w:val="19"/>
                <w:color w:val="auto"/>
              </w:rPr>
            </w:pPr>
          </w:p>
        </w:tc>
      </w:tr>
      <w:tr>
        <w:trPr>
          <w:trHeight w:val="230"/>
        </w:trPr>
        <w:tc>
          <w:tcPr>
            <w:tcW w:w="3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40" w:type="dxa"/>
            <w:vAlign w:val="bottom"/>
          </w:tcPr>
          <w:p>
            <w:pPr>
              <w:spacing w:after="0"/>
              <w:rPr>
                <w:sz w:val="19"/>
                <w:szCs w:val="19"/>
                <w:color w:val="auto"/>
              </w:rPr>
            </w:pPr>
          </w:p>
        </w:tc>
      </w:tr>
      <w:tr>
        <w:trPr>
          <w:trHeight w:val="248"/>
        </w:trPr>
        <w:tc>
          <w:tcPr>
            <w:tcW w:w="38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SG&amp;A expenses</w:t>
            </w:r>
          </w:p>
        </w:tc>
        <w:tc>
          <w:tcPr>
            <w:tcW w:w="1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1,934.4</w:t>
            </w:r>
          </w:p>
        </w:tc>
        <w:tc>
          <w:tcPr>
            <w:tcW w:w="140" w:type="dxa"/>
            <w:vAlign w:val="bottom"/>
          </w:tcPr>
          <w:p>
            <w:pPr>
              <w:spacing w:after="0"/>
              <w:rPr>
                <w:sz w:val="21"/>
                <w:szCs w:val="2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25"/>
        </w:trPr>
        <w:tc>
          <w:tcPr>
            <w:tcW w:w="2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20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Tapestry, Inc. Summary – First Six Months of Fiscal 2026</w:t>
      </w:r>
    </w:p>
    <w:p>
      <w:pPr>
        <w:spacing w:after="0" w:line="1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Currency Fluctuation Effects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net sales and gross margin for the first six months of fiscal 2026 compared to fiscal 2025 has been presented both including and excluding currency fluctuation effects.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Stuart Weitzman Business Divestiture</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Effective in the first quarter of fiscal 2026, following the Stuart Weitzman Business Divestiture on August 4, 2025, the Company's reportable segments are Coach and Kate Spade. For the first six months of fiscal 2026, prior to the completion of the sale on August 4, 2025, Stuart Weitzman Net sales were $14.6 million, Gross profit was $7.7 million and SG&amp;A expenses were $8.7 million resulting in an Operating loss of $1.0 million. These results were considered as items affecting comparability in the first six months of fiscal 2026. For the first six months of fiscal 2025, Stuart Weitzman Net sales were $123.4 million, Gross profit was $70.4 million and SG&amp;A expenses were $78.8 million resulting in an Operating loss of $8.4 million. These results were not considered as items affecting comparability in the first six months of fiscal 2025.</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360" w:type="dxa"/>
            <w:vAlign w:val="bottom"/>
          </w:tcPr>
          <w:p>
            <w:pPr>
              <w:spacing w:after="0"/>
              <w:rPr>
                <w:sz w:val="24"/>
                <w:szCs w:val="24"/>
                <w:color w:val="auto"/>
              </w:rPr>
            </w:pPr>
          </w:p>
        </w:tc>
        <w:tc>
          <w:tcPr>
            <w:tcW w:w="166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5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December 27,</w:t>
            </w:r>
          </w:p>
        </w:tc>
        <w:tc>
          <w:tcPr>
            <w:tcW w:w="1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113"/>
              <w:spacing w:after="0" w:line="169" w:lineRule="exact"/>
              <w:rPr>
                <w:sz w:val="20"/>
                <w:szCs w:val="20"/>
                <w:color w:val="auto"/>
              </w:rPr>
            </w:pPr>
            <w:r>
              <w:rPr>
                <w:rFonts w:ascii="Times New Roman" w:cs="Times New Roman" w:eastAsia="Times New Roman" w:hAnsi="Times New Roman"/>
                <w:sz w:val="18"/>
                <w:szCs w:val="18"/>
                <w:color w:val="auto"/>
              </w:rPr>
              <w:t>December 28,</w:t>
            </w:r>
          </w:p>
        </w:tc>
        <w:tc>
          <w:tcPr>
            <w:tcW w:w="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20" w:type="dxa"/>
            <w:vAlign w:val="bottom"/>
            <w:tcBorders>
              <w:top w:val="single" w:sz="8" w:color="auto"/>
            </w:tcBorders>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4"/>
                <w:szCs w:val="14"/>
                <w:color w:val="auto"/>
              </w:rPr>
            </w:pPr>
          </w:p>
        </w:tc>
        <w:tc>
          <w:tcPr>
            <w:tcW w:w="16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Constant Currency</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0" w:type="dxa"/>
            <w:vAlign w:val="bottom"/>
          </w:tcPr>
          <w:p>
            <w:pPr>
              <w:spacing w:after="0"/>
              <w:rPr>
                <w:sz w:val="1"/>
                <w:szCs w:val="1"/>
                <w:color w:val="auto"/>
              </w:rPr>
            </w:pPr>
          </w:p>
        </w:tc>
      </w:tr>
      <w:tr>
        <w:trPr>
          <w:trHeight w:val="190"/>
        </w:trPr>
        <w:tc>
          <w:tcPr>
            <w:tcW w:w="3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3,572.2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2,879.9</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w:t>
            </w:r>
          </w:p>
        </w:tc>
        <w:tc>
          <w:tcPr>
            <w:tcW w:w="600" w:type="dxa"/>
            <w:vAlign w:val="bottom"/>
            <w:shd w:val="clear" w:color="auto" w:fill="CCEEFF"/>
          </w:tcPr>
          <w:p>
            <w:pPr>
              <w:spacing w:after="0"/>
              <w:rPr>
                <w:sz w:val="20"/>
                <w:szCs w:val="20"/>
                <w:color w:val="auto"/>
              </w:rPr>
            </w:pPr>
          </w:p>
        </w:tc>
        <w:tc>
          <w:tcPr>
            <w:tcW w:w="1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7"/>
              </w:rPr>
              <w:t>24.0 %</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23.7 %</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60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23"/>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Tapestry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4,207.0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3,702.9</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600" w:type="dxa"/>
            <w:vAlign w:val="bottom"/>
          </w:tcPr>
          <w:p>
            <w:pPr>
              <w:spacing w:after="0"/>
              <w:rPr>
                <w:sz w:val="19"/>
                <w:szCs w:val="19"/>
                <w:color w:val="auto"/>
              </w:rPr>
            </w:pPr>
          </w:p>
        </w:tc>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16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sales in the first six months of fiscal 2026 increased 13.6% or $504.1 million to $4.21 billion. Excluding the impact of the Stuart Weitzman Business and foreign currency, net sales increased by 16.8% or $601.5 million.</w:t>
      </w:r>
    </w:p>
    <w:p>
      <w:pPr>
        <w:spacing w:after="0" w:line="52" w:lineRule="exact"/>
        <w:rPr>
          <w:sz w:val="20"/>
          <w:szCs w:val="20"/>
          <w:color w:val="auto"/>
        </w:rPr>
      </w:pPr>
    </w:p>
    <w:p>
      <w:pPr>
        <w:jc w:val="both"/>
        <w:ind w:left="660" w:hanging="328"/>
        <w:spacing w:after="0" w:line="267" w:lineRule="auto"/>
        <w:tabs>
          <w:tab w:leader="none" w:pos="655"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Coach Net Sales </w:t>
      </w:r>
      <w:r>
        <w:rPr>
          <w:rFonts w:ascii="Times New Roman" w:cs="Times New Roman" w:eastAsia="Times New Roman" w:hAnsi="Times New Roman"/>
          <w:sz w:val="18"/>
          <w:szCs w:val="18"/>
          <w:color w:val="auto"/>
        </w:rPr>
        <w:t>increased 24.0% or $692.3 million to $3.57 billion in the first six months of fiscal 2026. Excluding the impact of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net sales increased 23.7% or $682.3 million. This increase in Net sales was primarily due to an increase of $596.3 million in DTC sales, mainly driven by North America, Greater China and Europe.</w:t>
      </w:r>
    </w:p>
    <w:p>
      <w:pPr>
        <w:spacing w:after="0" w:line="65"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5"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Kate Spade Net Sales </w:t>
      </w:r>
      <w:r>
        <w:rPr>
          <w:rFonts w:ascii="Times New Roman" w:cs="Times New Roman" w:eastAsia="Times New Roman" w:hAnsi="Times New Roman"/>
          <w:sz w:val="18"/>
          <w:szCs w:val="18"/>
          <w:color w:val="auto"/>
        </w:rPr>
        <w:t>decreased 11.4% or $79.4 million to $620.2 million in the first six months of fiscal 2026. Excluding the impact of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net sales decreased 11.6% or $80.8 million. This decrease in Net sales was primarily due to a decrease of $82.1 million in DTC sales.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64"/>
        </w:trPr>
        <w:tc>
          <w:tcPr>
            <w:tcW w:w="2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23"/>
        </w:trPr>
        <w:tc>
          <w:tcPr>
            <w:tcW w:w="2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December 27, 2025</w:t>
            </w:r>
          </w:p>
        </w:tc>
        <w:tc>
          <w:tcPr>
            <w:tcW w:w="2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8"/>
                <w:szCs w:val="18"/>
                <w:color w:val="auto"/>
              </w:rPr>
              <w:t>December 28, 2024</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900" w:type="dxa"/>
            <w:vAlign w:val="bottom"/>
            <w:tcBorders>
              <w:bottom w:val="single" w:sz="8" w:color="auto"/>
            </w:tcBorders>
          </w:tcPr>
          <w:p>
            <w:pPr>
              <w:spacing w:after="0"/>
              <w:rPr>
                <w:sz w:val="19"/>
                <w:szCs w:val="19"/>
                <w:color w:val="auto"/>
              </w:rPr>
            </w:pPr>
          </w:p>
        </w:tc>
      </w:tr>
      <w:tr>
        <w:trPr>
          <w:trHeight w:val="184"/>
        </w:trPr>
        <w:tc>
          <w:tcPr>
            <w:tcW w:w="2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2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2"/>
        </w:trPr>
        <w:tc>
          <w:tcPr>
            <w:tcW w:w="2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of Net Sales</w:t>
            </w:r>
          </w:p>
        </w:tc>
        <w:tc>
          <w:tcPr>
            <w:tcW w:w="240" w:type="dxa"/>
            <w:vAlign w:val="bottom"/>
          </w:tcPr>
          <w:p>
            <w:pPr>
              <w:spacing w:after="0"/>
              <w:rPr>
                <w:sz w:val="21"/>
                <w:szCs w:val="21"/>
                <w:color w:val="auto"/>
              </w:rPr>
            </w:pP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Amount</w:t>
            </w:r>
          </w:p>
        </w:tc>
        <w:tc>
          <w:tcPr>
            <w:tcW w:w="80" w:type="dxa"/>
            <w:vAlign w:val="bottom"/>
          </w:tcPr>
          <w:p>
            <w:pPr>
              <w:spacing w:after="0"/>
              <w:rPr>
                <w:sz w:val="21"/>
                <w:szCs w:val="21"/>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of Net Sales</w:t>
            </w:r>
          </w:p>
        </w:tc>
        <w:tc>
          <w:tcPr>
            <w:tcW w:w="240" w:type="dxa"/>
            <w:vAlign w:val="bottom"/>
          </w:tcPr>
          <w:p>
            <w:pPr>
              <w:spacing w:after="0"/>
              <w:rPr>
                <w:sz w:val="21"/>
                <w:szCs w:val="21"/>
                <w:color w:val="auto"/>
              </w:rPr>
            </w:pPr>
          </w:p>
        </w:tc>
        <w:tc>
          <w:tcPr>
            <w:tcW w:w="1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9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2,795.0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w w:val="99"/>
              </w:rPr>
              <w:t>78.2 %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2,234.4</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77.6 %</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560.6</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25.1 %</w:t>
            </w: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386.2</w:t>
            </w:r>
          </w:p>
        </w:tc>
        <w:tc>
          <w:tcPr>
            <w:tcW w:w="154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62.3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14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(77.0)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(16.6)</w:t>
            </w: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5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b w:val="1"/>
                <w:bCs w:val="1"/>
                <w:color w:val="auto"/>
              </w:rPr>
              <w:t>52.3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4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57.0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(62.7)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(89.1)</w:t>
            </w:r>
          </w:p>
        </w:tc>
      </w:tr>
      <w:tr>
        <w:trPr>
          <w:trHeight w:val="223"/>
        </w:trPr>
        <w:tc>
          <w:tcPr>
            <w:tcW w:w="26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Tapestry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3,188.9</w:t>
            </w:r>
          </w:p>
        </w:tc>
        <w:tc>
          <w:tcPr>
            <w:tcW w:w="154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75.8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2,768.0</w:t>
            </w:r>
          </w:p>
        </w:tc>
        <w:tc>
          <w:tcPr>
            <w:tcW w:w="14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74.8</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420.9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15.2</w:t>
            </w:r>
          </w:p>
        </w:tc>
      </w:tr>
      <w:tr>
        <w:trPr>
          <w:trHeight w:val="20"/>
        </w:trPr>
        <w:tc>
          <w:tcPr>
            <w:tcW w:w="2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Gross profit increased 15.2% or $420.9 million to $3.19 billion in the first six months of fiscal 2026 from $2.77 billion in the first six months of fiscal 2025. Gross margin increased 100 basis points to 75.8% in the first six months of fiscal 2026 from 74.8% in the first six months of fiscal 2025. Excluding items affecting comparability, gross margin increased 110 basis points to 75.9% in the first six months of fiscal 2026 from 74.8% in the first six months of fiscal 2025, which includes a 60 basis point benefit from the divestiture of Stuart Weitzman. The remaining 50 basis point increase in gross margin was primarily attributed to net pricing improvements, partially offset by the impact of higher tariffs. Refer to "Current Macroeconomic Conditions and Outlook" for further information.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4" w:name="page45"/>
    <w:bookmarkEnd w:id="44"/>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includes inbound product-related transportation costs from our service providers within Cost of sales. The Company, similar to some companies, includes certain transportation-related costs due to our distribution network in SG&amp;A expenses rather than in Cost of sales; for this reason, our gross margins may not be comparable to that of entities that include all costs related to their distribution network in Cost of sales.</w:t>
      </w:r>
    </w:p>
    <w:p>
      <w:pPr>
        <w:spacing w:after="0" w:line="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223"/>
        </w:trPr>
        <w:tc>
          <w:tcPr>
            <w:tcW w:w="3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December 27, 2025</w:t>
            </w:r>
          </w:p>
        </w:tc>
        <w:tc>
          <w:tcPr>
            <w:tcW w:w="18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8"/>
                <w:szCs w:val="18"/>
                <w:color w:val="auto"/>
              </w:rPr>
              <w:t>December 28, 2024</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740" w:type="dxa"/>
            <w:vAlign w:val="bottom"/>
            <w:tcBorders>
              <w:bottom w:val="single" w:sz="8" w:color="auto"/>
            </w:tcBorders>
          </w:tcPr>
          <w:p>
            <w:pPr>
              <w:spacing w:after="0"/>
              <w:rPr>
                <w:sz w:val="19"/>
                <w:szCs w:val="19"/>
                <w:color w:val="auto"/>
              </w:rPr>
            </w:pPr>
          </w:p>
        </w:tc>
      </w:tr>
      <w:tr>
        <w:trPr>
          <w:trHeight w:val="184"/>
        </w:trPr>
        <w:tc>
          <w:tcPr>
            <w:tcW w:w="3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42"/>
        </w:trPr>
        <w:tc>
          <w:tcPr>
            <w:tcW w:w="3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1"/>
                <w:szCs w:val="21"/>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of Net Sales</w:t>
            </w:r>
          </w:p>
        </w:tc>
        <w:tc>
          <w:tcPr>
            <w:tcW w:w="180" w:type="dxa"/>
            <w:vAlign w:val="bottom"/>
          </w:tcPr>
          <w:p>
            <w:pPr>
              <w:spacing w:after="0"/>
              <w:rPr>
                <w:sz w:val="21"/>
                <w:szCs w:val="21"/>
                <w:color w:val="auto"/>
              </w:rPr>
            </w:pP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Amount</w:t>
            </w:r>
          </w:p>
        </w:tc>
        <w:tc>
          <w:tcPr>
            <w:tcW w:w="80" w:type="dxa"/>
            <w:vAlign w:val="bottom"/>
          </w:tcPr>
          <w:p>
            <w:pPr>
              <w:spacing w:after="0"/>
              <w:rPr>
                <w:sz w:val="21"/>
                <w:szCs w:val="21"/>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of Net Sales</w:t>
            </w:r>
          </w:p>
        </w:tc>
        <w:tc>
          <w:tcPr>
            <w:tcW w:w="220" w:type="dxa"/>
            <w:vAlign w:val="bottom"/>
          </w:tcPr>
          <w:p>
            <w:pPr>
              <w:spacing w:after="0"/>
              <w:rPr>
                <w:sz w:val="21"/>
                <w:szCs w:val="21"/>
                <w:color w:val="auto"/>
              </w:rPr>
            </w:pP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40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Coach</w:t>
            </w:r>
            <w:r>
              <w:rPr>
                <w:rFonts w:ascii="Times New Roman" w:cs="Times New Roman" w:eastAsia="Times New Roman" w:hAnsi="Times New Roman"/>
                <w:sz w:val="23"/>
                <w:szCs w:val="23"/>
                <w:b w:val="1"/>
                <w:bCs w:val="1"/>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1,461.1</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w w:val="99"/>
              </w:rPr>
              <w:t>40.9 %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1,226.9</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42.5 %</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r>
      <w:tr>
        <w:trPr>
          <w:trHeight w:val="229"/>
        </w:trPr>
        <w:tc>
          <w:tcPr>
            <w:tcW w:w="3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Kate Spade</w:t>
            </w:r>
            <w:r>
              <w:rPr>
                <w:rFonts w:ascii="Times New Roman" w:cs="Times New Roman" w:eastAsia="Times New Roman" w:hAnsi="Times New Roman"/>
                <w:sz w:val="23"/>
                <w:szCs w:val="23"/>
                <w:b w:val="1"/>
                <w:bCs w:val="1"/>
                <w:color w:val="auto"/>
                <w:vertAlign w:val="superscript"/>
              </w:rPr>
              <w:t>(2)</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364.3</w:t>
            </w:r>
          </w:p>
        </w:tc>
        <w:tc>
          <w:tcPr>
            <w:tcW w:w="150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58.7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14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5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59.3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63.8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(89.0)</w:t>
            </w:r>
          </w:p>
        </w:tc>
      </w:tr>
      <w:tr>
        <w:trPr>
          <w:trHeight w:val="229"/>
        </w:trPr>
        <w:tc>
          <w:tcPr>
            <w:tcW w:w="34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Corporate</w:t>
            </w:r>
            <w:r>
              <w:rPr>
                <w:rFonts w:ascii="Times New Roman" w:cs="Times New Roman" w:eastAsia="Times New Roman" w:hAnsi="Times New Roman"/>
                <w:sz w:val="23"/>
                <w:szCs w:val="23"/>
                <w:b w:val="1"/>
                <w:bCs w:val="1"/>
                <w:color w:val="auto"/>
                <w:vertAlign w:val="superscript"/>
              </w:rPr>
              <w:t>(3)(4)</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310.2</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NA</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gridSpan w:val="2"/>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(11.2)</w:t>
            </w:r>
          </w:p>
        </w:tc>
      </w:tr>
      <w:tr>
        <w:trPr>
          <w:trHeight w:val="248"/>
        </w:trPr>
        <w:tc>
          <w:tcPr>
            <w:tcW w:w="3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Tapestry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2,144.3</w:t>
            </w:r>
          </w:p>
        </w:tc>
        <w:tc>
          <w:tcPr>
            <w:tcW w:w="150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2,023.2</w:t>
            </w:r>
          </w:p>
        </w:tc>
        <w:tc>
          <w:tcPr>
            <w:tcW w:w="144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SG&amp;A expenses increased 6.0% or $121.1 million to $2.14 billion in the first six months of fiscal 2026 as compared to $2.02 billion in the first six months of fiscal 2025. As a percentage of net sales, SG&amp;A expenses decreased to 51.0% during the first six months of fiscal 2026 from 54.6% during the first six months of fiscal 2025. Excluding items affecting comparability in the first six months of fiscal 2026, SG&amp;A expenses increased 8.9% or $173.1 million to $2.11 billion from $1.93 billion in the first six months of fiscal 2025. SG&amp;A as a percentage of net sales decreased 200 basis points to 50.3% compared to 52.3% during the first six months of fiscal 2025, which includes a 40 basis point benefit from the divestiture of Stuart Weitzman. The remaining 160 basis point decrease in SG&amp;A as a percentage of net sales was primarily due to leverage of fixed costs on higher net sales and lower distribution costs, partially offset by higher marketing spend.</w:t>
      </w:r>
    </w:p>
    <w:p>
      <w:pPr>
        <w:spacing w:after="0" w:line="81" w:lineRule="exact"/>
        <w:rPr>
          <w:sz w:val="20"/>
          <w:szCs w:val="20"/>
          <w:color w:val="auto"/>
        </w:rPr>
      </w:pPr>
    </w:p>
    <w:p>
      <w:pPr>
        <w:jc w:val="both"/>
        <w:ind w:left="340" w:hanging="332"/>
        <w:spacing w:after="0" w:line="235" w:lineRule="auto"/>
        <w:tabs>
          <w:tab w:leader="none" w:pos="328"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Excluding items affecting comparability, SG&amp;A expenses increased 19.0% or $233.0 million to $1.46 billion in the first six months of fiscal 2026 as compared to $1.23 billion in the first six months of fiscal 2025. SG&amp;A as a percentage of net sales decreased approximately 160 basis points to 40.9% in the first six months of fiscal 2026 as compared to 42.5% in the first six months of fiscal 2025.</w:t>
      </w:r>
    </w:p>
    <w:p>
      <w:pPr>
        <w:spacing w:after="0" w:line="91" w:lineRule="exact"/>
        <w:rPr>
          <w:rFonts w:ascii="Times New Roman" w:cs="Times New Roman" w:eastAsia="Times New Roman" w:hAnsi="Times New Roman"/>
          <w:sz w:val="23"/>
          <w:szCs w:val="23"/>
          <w:color w:val="auto"/>
          <w:vertAlign w:val="superscript"/>
        </w:rPr>
      </w:pPr>
    </w:p>
    <w:p>
      <w:pPr>
        <w:jc w:val="both"/>
        <w:ind w:left="340" w:hanging="332"/>
        <w:spacing w:after="0" w:line="235" w:lineRule="auto"/>
        <w:tabs>
          <w:tab w:leader="none" w:pos="328"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Excluding items affecting comparability, SG&amp;A expenses decreased 1.2% or $4.4 million to $363.8 million in the first six months of fiscal 2026 as compared to $368.2 million in the first six months of fiscal 2025. SG&amp;A as a percentage of net sales increased approximately 620 basis points to 58.7% in the first six months of fiscal 2026 as compared to 52.5% in the first six months of fiscal 2025.</w:t>
      </w:r>
    </w:p>
    <w:p>
      <w:pPr>
        <w:spacing w:after="0" w:line="91"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28"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Excluding items affecting comparability, SG&amp;A expenses increased 8.9% or $23.3 million to $283.8 million in the first six months of fiscal 2026 as compared to $260.5 million in the first six months of fiscal 2025.</w:t>
      </w:r>
    </w:p>
    <w:p>
      <w:pPr>
        <w:spacing w:after="0" w:line="60"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Corporate expenses, which are included within SG&amp;A expenses discussed above, but are not directly attributable to a reportable segment.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64"/>
        </w:trPr>
        <w:tc>
          <w:tcPr>
            <w:tcW w:w="2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23"/>
        </w:trPr>
        <w:tc>
          <w:tcPr>
            <w:tcW w:w="2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27, 2025</w:t>
            </w:r>
          </w:p>
        </w:tc>
        <w:tc>
          <w:tcPr>
            <w:tcW w:w="2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8"/>
                <w:szCs w:val="18"/>
                <w:color w:val="auto"/>
              </w:rPr>
              <w:t>December 28, 2024</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900" w:type="dxa"/>
            <w:vAlign w:val="bottom"/>
            <w:tcBorders>
              <w:bottom w:val="single" w:sz="8" w:color="auto"/>
            </w:tcBorders>
          </w:tcPr>
          <w:p>
            <w:pPr>
              <w:spacing w:after="0"/>
              <w:rPr>
                <w:sz w:val="19"/>
                <w:szCs w:val="19"/>
                <w:color w:val="auto"/>
              </w:rPr>
            </w:pPr>
          </w:p>
        </w:tc>
      </w:tr>
      <w:tr>
        <w:trPr>
          <w:trHeight w:val="184"/>
        </w:trPr>
        <w:tc>
          <w:tcPr>
            <w:tcW w:w="2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4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2"/>
        </w:trPr>
        <w:tc>
          <w:tcPr>
            <w:tcW w:w="2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 of Net Sales</w:t>
            </w:r>
          </w:p>
        </w:tc>
        <w:tc>
          <w:tcPr>
            <w:tcW w:w="240" w:type="dxa"/>
            <w:vAlign w:val="bottom"/>
          </w:tcPr>
          <w:p>
            <w:pPr>
              <w:spacing w:after="0"/>
              <w:rPr>
                <w:sz w:val="21"/>
                <w:szCs w:val="21"/>
                <w:color w:val="auto"/>
              </w:rPr>
            </w:pP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1"/>
                <w:szCs w:val="21"/>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of Net Sales</w:t>
            </w:r>
          </w:p>
        </w:tc>
        <w:tc>
          <w:tcPr>
            <w:tcW w:w="220" w:type="dxa"/>
            <w:vAlign w:val="bottom"/>
          </w:tcPr>
          <w:p>
            <w:pPr>
              <w:spacing w:after="0"/>
              <w:rPr>
                <w:sz w:val="21"/>
                <w:szCs w:val="21"/>
                <w:color w:val="auto"/>
              </w:rPr>
            </w:pPr>
          </w:p>
        </w:tc>
        <w:tc>
          <w:tcPr>
            <w:tcW w:w="1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Amount</w:t>
            </w: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1,333.9</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1,007.5</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32.4 %</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1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4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(76.9)</w:t>
            </w:r>
          </w:p>
        </w:tc>
      </w:tr>
      <w:tr>
        <w:trPr>
          <w:trHeight w:val="22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5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87.9</w:t>
            </w:r>
          </w:p>
        </w:tc>
      </w:tr>
      <w:tr>
        <w:trPr>
          <w:trHeight w:val="230"/>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(310.2)</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NA</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9"/>
              </w:rPr>
              <w:t>NA</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11.2</w:t>
            </w:r>
          </w:p>
        </w:tc>
      </w:tr>
      <w:tr>
        <w:trPr>
          <w:trHeight w:val="248"/>
        </w:trPr>
        <w:tc>
          <w:tcPr>
            <w:tcW w:w="2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Tapestry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1,044.6</w:t>
            </w:r>
          </w:p>
        </w:tc>
        <w:tc>
          <w:tcPr>
            <w:tcW w:w="15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148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40.2</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Operating income increased $299.8 million to $1.04 billion in the first six months of fiscal 2026 as compared to $744.8 million in the first six months of fiscal 2025. Operating margin increased to 24.8% in the first six months of fiscal 2026 as compared to 20.1% in the first six months of fiscal 2025. Excluding items affecting comparability, operating income increased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5" w:name="page46"/>
    <w:bookmarkEnd w:id="45"/>
    <w:p>
      <w:pPr>
        <w:jc w:val="both"/>
        <w:spacing w:after="0" w:line="261" w:lineRule="auto"/>
        <w:rPr>
          <w:sz w:val="20"/>
          <w:szCs w:val="20"/>
          <w:color w:val="auto"/>
        </w:rPr>
      </w:pPr>
      <w:r>
        <w:rPr>
          <w:rFonts w:ascii="Times New Roman" w:cs="Times New Roman" w:eastAsia="Times New Roman" w:hAnsi="Times New Roman"/>
          <w:sz w:val="18"/>
          <w:szCs w:val="18"/>
          <w:color w:val="auto"/>
        </w:rPr>
        <w:t>$240.1 million to $1.07 billion in the first six months of fiscal 2026 from $833.6 million in the first six months of fiscal 2025. Operating margin increased 310 basis points to 25.6% in the first six months of fiscal 2026 as compared to 22.5% in the first six months of fiscal 2025, which includes a 100 basis point benefit from the divestiture of Stuart Weitzman. The remaining increase in operating margin was primarily attributed to a 50 basis point increase in gross margin and a 160 basis point decrease in SG&amp;A as a percentage of sales.</w:t>
      </w:r>
    </w:p>
    <w:p>
      <w:pPr>
        <w:spacing w:after="0" w:line="70" w:lineRule="exact"/>
        <w:rPr>
          <w:sz w:val="20"/>
          <w:szCs w:val="20"/>
          <w:color w:val="auto"/>
        </w:rPr>
      </w:pPr>
    </w:p>
    <w:p>
      <w:pPr>
        <w:jc w:val="both"/>
        <w:ind w:left="660" w:hanging="328"/>
        <w:spacing w:after="0" w:line="258"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Coach Operating Income </w:t>
      </w:r>
      <w:r>
        <w:rPr>
          <w:rFonts w:ascii="Times New Roman" w:cs="Times New Roman" w:eastAsia="Times New Roman" w:hAnsi="Times New Roman"/>
          <w:sz w:val="18"/>
          <w:szCs w:val="18"/>
          <w:color w:val="auto"/>
        </w:rPr>
        <w:t>increased $326.4 million to $1.33 billion in the first six months of fiscal 2026. Operating margin increased to 37.3%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six months of fiscal 2026 as compared to 35.0% in the first six months of fiscal 2025. Excluding items affecting comparability, operating income increased $327.6 million to $1.34 billion in the first six months of fiscal 2026 from $1.01 billion in the first six months of fiscal 2025; and operating margin increased approximately 240 basis points to 37.4% in the first six months of fiscal 2026 as compared to 35.0% in the first six months of fiscal 2025. This increase in operating margin was primarily attributed to:</w:t>
      </w:r>
    </w:p>
    <w:p>
      <w:pPr>
        <w:spacing w:after="0" w:line="75" w:lineRule="exact"/>
        <w:rPr>
          <w:rFonts w:ascii="Times New Roman" w:cs="Times New Roman" w:eastAsia="Times New Roman" w:hAnsi="Times New Roman"/>
          <w:sz w:val="18"/>
          <w:szCs w:val="18"/>
          <w:color w:val="auto"/>
        </w:rPr>
      </w:pPr>
    </w:p>
    <w:p>
      <w:pPr>
        <w:ind w:left="1300" w:hanging="320"/>
        <w:spacing w:after="0" w:line="284" w:lineRule="auto"/>
        <w:tabs>
          <w:tab w:leader="none" w:pos="129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increased approximately 60 basis points mainly due to net pricing improvements, partially offset by the impact of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tariffs and unfavorable currency impacts;</w:t>
      </w:r>
    </w:p>
    <w:p>
      <w:pPr>
        <w:spacing w:after="0" w:line="50" w:lineRule="exact"/>
        <w:rPr>
          <w:rFonts w:ascii="Times New Roman" w:cs="Times New Roman" w:eastAsia="Times New Roman" w:hAnsi="Times New Roman"/>
          <w:sz w:val="18"/>
          <w:szCs w:val="18"/>
          <w:color w:val="auto"/>
        </w:rPr>
      </w:pPr>
    </w:p>
    <w:p>
      <w:pPr>
        <w:ind w:left="1300" w:hanging="320"/>
        <w:spacing w:after="0" w:line="284" w:lineRule="auto"/>
        <w:tabs>
          <w:tab w:leader="none" w:pos="129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SG&amp;A expenses as a percentage of net sales</w:t>
      </w:r>
      <w:r>
        <w:rPr>
          <w:rFonts w:ascii="Times New Roman" w:cs="Times New Roman" w:eastAsia="Times New Roman" w:hAnsi="Times New Roman"/>
          <w:sz w:val="18"/>
          <w:szCs w:val="18"/>
          <w:color w:val="auto"/>
        </w:rPr>
        <w:t>, decreased approximately 160 basis points mainly due to leverage of fixed costs on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sales and lower distribution costs, partially offset by higher marketing spend.</w:t>
      </w:r>
    </w:p>
    <w:p>
      <w:pPr>
        <w:spacing w:after="0" w:line="50"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Kate Spade Operating Income </w:t>
      </w:r>
      <w:r>
        <w:rPr>
          <w:rFonts w:ascii="Times New Roman" w:cs="Times New Roman" w:eastAsia="Times New Roman" w:hAnsi="Times New Roman"/>
          <w:sz w:val="18"/>
          <w:szCs w:val="18"/>
          <w:color w:val="auto"/>
        </w:rPr>
        <w:t>decreased $73.1 million to $21.9 million in the first six months of fiscal 2026. Operating margin decreased to 3.5%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first six months of fiscal 2026 as compared to 13.6% in the first six months of fiscal 2025. Excluding items affecting comparability, operating income decreased $72.6 million to $22.4 million in the first six months of fiscal 2026 from $95.0 million in the first six months of fiscal 2025; and operating margin decreased approximately 1,000 basis points to 3.6% in the first six months of fiscal 2026 as compared to 13.6% in the first six months of fiscal 2025. This decrease in operating margin was primarily attributed to:</w:t>
      </w:r>
    </w:p>
    <w:p>
      <w:pPr>
        <w:spacing w:after="0" w:line="75" w:lineRule="exact"/>
        <w:rPr>
          <w:rFonts w:ascii="Times New Roman" w:cs="Times New Roman" w:eastAsia="Times New Roman" w:hAnsi="Times New Roman"/>
          <w:sz w:val="18"/>
          <w:szCs w:val="18"/>
          <w:i w:val="1"/>
          <w:iCs w:val="1"/>
          <w:color w:val="auto"/>
        </w:rPr>
      </w:pPr>
    </w:p>
    <w:p>
      <w:pPr>
        <w:ind w:left="1300" w:hanging="320"/>
        <w:spacing w:after="0" w:line="284" w:lineRule="auto"/>
        <w:tabs>
          <w:tab w:leader="none" w:pos="129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Gross margin</w:t>
      </w:r>
      <w:r>
        <w:rPr>
          <w:rFonts w:ascii="Times New Roman" w:cs="Times New Roman" w:eastAsia="Times New Roman" w:hAnsi="Times New Roman"/>
          <w:sz w:val="18"/>
          <w:szCs w:val="18"/>
          <w:color w:val="auto"/>
        </w:rPr>
        <w:t>, decreased 390 basis points mainly due to the impact of higher tariffs and unfavorable channel mix, partially offset by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improvements;</w:t>
      </w:r>
    </w:p>
    <w:p>
      <w:pPr>
        <w:spacing w:after="0" w:line="50" w:lineRule="exact"/>
        <w:rPr>
          <w:rFonts w:ascii="Times New Roman" w:cs="Times New Roman" w:eastAsia="Times New Roman" w:hAnsi="Times New Roman"/>
          <w:sz w:val="18"/>
          <w:szCs w:val="18"/>
          <w:color w:val="auto"/>
        </w:rPr>
      </w:pPr>
    </w:p>
    <w:p>
      <w:pPr>
        <w:ind w:left="1300" w:hanging="320"/>
        <w:spacing w:after="0" w:line="284" w:lineRule="auto"/>
        <w:tabs>
          <w:tab w:leader="none" w:pos="131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SG&amp;A expenses as a percentage of net sales, </w:t>
      </w:r>
      <w:r>
        <w:rPr>
          <w:rFonts w:ascii="Times New Roman" w:cs="Times New Roman" w:eastAsia="Times New Roman" w:hAnsi="Times New Roman"/>
          <w:sz w:val="18"/>
          <w:szCs w:val="18"/>
          <w:color w:val="auto"/>
        </w:rPr>
        <w:t>increased approximately 620 basis points mainly driven by higher marketing spend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deleverage of fixed costs on lower net sales.</w:t>
      </w:r>
    </w:p>
    <w:p>
      <w:pPr>
        <w:spacing w:after="0" w:line="50"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Operating Expenses </w:t>
      </w:r>
      <w:r>
        <w:rPr>
          <w:rFonts w:ascii="Times New Roman" w:cs="Times New Roman" w:eastAsia="Times New Roman" w:hAnsi="Times New Roman"/>
          <w:sz w:val="18"/>
          <w:szCs w:val="18"/>
          <w:color w:val="auto"/>
        </w:rPr>
        <w:t>decreased 11.2% or $39.1 million to $310.2 million in the first six months of fiscal 2026. Excluding items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affecting comparability, Corporate operating expenses increased $23.3 million to $283.8 million from $260.5 million in the first six months of fiscal 2025. This increase in operating expenses was primarily attributed to higher compensation costs and higher professional fees, partially offset by lower occupancy costs.</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Loss on Extinguishment of Debt</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Loss on extinguishment of debt decreased $120.1 million to $0.0 million in the first six months of fiscal 2026 as compared to $120.1 million in the first six months of fiscal 2025. Excluding items affecting comparability, Loss on extinguishment of debt decreased $0.7 million to $0.0 million in the first six months of fiscal 2026 as compared to $0.7 million in the first six months of fiscal 2025.</w:t>
      </w:r>
    </w:p>
    <w:p>
      <w:pPr>
        <w:spacing w:after="0" w:line="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expense, net decreased $25.0 million to $30.2 million in the first six months of fiscal 2026 as compared to $55.2 million in the first six months of fiscal 2025. Excluding items affecting comparability, net interest expense increased $35.3 million to $30.3 million from interest income of $5.0 million in the first six months of fiscal 2025. This increase in Interest expense, net, was mainly due to an increase in interest expense as a result of the issuance of the 2030 and 2035 Senior Notes and lower interest income.</w:t>
      </w:r>
    </w:p>
    <w:p>
      <w:pPr>
        <w:spacing w:after="0" w:line="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Other Expense (Income)</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income decreased $0.1 million to $1.4 million in the first six months of fiscal 2026 as compared to income of $1.5 million in the first six months of fiscal 2025. Excluding items affecting comparability, Other income remained even at $1.5 million compared to the first six months of fiscal 2025.</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Provision (Benefit) for Income Taxes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effective tax rate was 17.7% in the first six months of fiscal 2026 as compared to 13.0% in the first six months of fiscal 2025. Excluding items affecting comparability, the effective tax rate was 17.5% in the first six months of fiscal 2026 as compared to 17.6% in the first six months of fiscal 2025. The decrease in effective tax rate was primarily attributable to the impact of discrete items compared to the prior year period, primarily offset by the impact of Pillar Two.</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6" w:name="page47"/>
    <w:bookmarkEnd w:id="46"/>
    <w:p>
      <w:pPr>
        <w:ind w:left="80"/>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Net income increased 68.2% or $339.1 million to $836.1 million in the first six months of fiscal 2026 as compared to $497.0 million in the first six months of fiscal 2025. Excluding items affecting comparability, net income increased $170.0 million to $861.8 million in the first six months of fiscal 2026 from $691.8 million in the first six months of fiscal 2025.</w:t>
      </w:r>
    </w:p>
    <w:p>
      <w:pPr>
        <w:spacing w:after="0" w:line="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income per diluted share was $3.93 in the first six months of fiscal 2026 as compared to net income per diluted share of $2.17 in the first six months of fiscal 2025. Excluding items affecting comparability, net income per diluted share increased $1.03 to $4.05 in the first six months of fiscal 2026 from $3.02 in the first six months of fiscal 2025, primarily due to higher net income and a decrease in shares outstanding.</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reported results are presented in accordance with GAAP. The reported SG&amp;A expenses, operating income, interest expense, other expense (income), provision for income taxes, net income and earnings per diluted share in the second quarter and first six months of fiscal 2026 and fiscal 2025 and the reported Loss on extinguishment of debt in the second quarter and first six months of fiscal 2025, reflect certain items affecting comparability, including the impact of the Acquisition and Divestiture and Organizational Efficiency Costs. As a supplement to the Company's reported results, these measures are also reported on a non-GAAP basis to exclude the impact of these items along with a reconciliation to the most directly comparable GAAP measures.</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incurred Acquisition and Divestiture items which consist of non-recurring costs, related to the Stuart Weitzman Business Divestiture, inclusive of professional fees, one-time severance costs, compensation costs, operating net loss and TSA income. The Company also incurred Organizational Efficiency Costs which consist of non-recurring costs, primarily from various initiatives aimed at streamlining the organization and optimizing processes. These costs mainly include one-time technology and severance related charges.</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non-GAAP performance measures were used by management to conduct and evaluate its business during its regular review of operating results for the periods affected. Management and the Company’s Board utilized these non-GAAP measures to make decisions about the uses of Company resources, analyze performance between periods, develop internal projections and measure management performance. The Company’s internal management reporting excluded these items. In addition, the human resources committee of the Company’s Board uses these non-GAAP measures when setting and assessing achievement of incentive compensation goals.</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operates on a global basis and reports financial results in U.S. dollars in accordance with GAAP. Fluctuations in foreign currency exchange rates can affect the amounts reported by the Company in U.S. dollars with respect to its foreign revenues and profit. Accordingly, certain material increases and decreases in operating results for the Company and its segments have been presented both including and excluding currency fluctuation effects. These effects occur from translating foreign-denominated amounts into U.S. dollars and comparing to the same period in the prior fiscal year. Constant currency information compares results between periods as if exchange rates had remained constant period-over-period. The Company calculates constant currency revenue results by translating current period revenue in local currency using the prior year period's currency conversion rate.</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these non-GAAP measures are useful to investors and others in evaluating the Company’s ongoing operating and financial results in a manner that is consistent with management's evaluation of business performance and understanding how such results compare with the Company’s historical performance. Additionally, we believe presenting certain increases and decreases in constant currency provides a framework for assessing the performance of the Company's business outside the United States and helps investors and analysts understand the effect of significant year-over-year currency fluctuations. We believe excluding these items assists investors and others in developing expectations of future performance.</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By providing the non-GAAP measures, as a supplement to GAAP information, we believe we are enhancing investors’ understanding of our business and our results of operations. The non-GAAP financial measures are limited in their usefulness and should be considered in addition to, and not in lieu of, GAAP financial measures. Further, these non-GAAP measures may be unique to the Company, as they may be different from non-GAAP measures used by other companies.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 detailed discussion on these non-GAAP measures, see the GAAP to Non-GAAP Reconciliation discussions above in this Item 2. "Management’s Discussion and Analysis of Financial Condition and Results of Operations."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24"/>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64"/>
        </w:trPr>
        <w:tc>
          <w:tcPr>
            <w:tcW w:w="6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69"/>
        </w:trPr>
        <w:tc>
          <w:tcPr>
            <w:tcW w:w="6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December 27,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December 28,</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43"/>
        </w:trPr>
        <w:tc>
          <w:tcPr>
            <w:tcW w:w="67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Change</w:t>
            </w:r>
          </w:p>
        </w:tc>
      </w:tr>
      <w:tr>
        <w:trPr>
          <w:trHeight w:val="184"/>
        </w:trPr>
        <w:tc>
          <w:tcPr>
            <w:tcW w:w="6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4"/>
        </w:trPr>
        <w:tc>
          <w:tcPr>
            <w:tcW w:w="6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1,193.7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(953.5)</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5,519.3</w:t>
            </w:r>
          </w:p>
        </w:tc>
      </w:tr>
      <w:tr>
        <w:trPr>
          <w:trHeight w:val="22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48"/>
        </w:trPr>
        <w:tc>
          <w:tcPr>
            <w:tcW w:w="6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5,111.9</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cash and cash equivalents decreased by $46.7 million in the first six months of fiscal 2026 as compared to a decrease of $5.16 billion in the first six months of fiscal 2025, as discussed below.</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increased $568.2 million primarily due to higher net income of $339.1 million, changes in operating assets and liabilities of $225.2 million, as well as higher impact of non-cash adjustments of $3.9 million.</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$225.2 million increase in changes in operating asset and liability balances were primarily driven by the following:</w:t>
      </w:r>
    </w:p>
    <w:p>
      <w:pPr>
        <w:spacing w:after="0" w:line="117" w:lineRule="exact"/>
        <w:rPr>
          <w:sz w:val="20"/>
          <w:szCs w:val="20"/>
          <w:color w:val="auto"/>
        </w:rPr>
      </w:pPr>
    </w:p>
    <w:p>
      <w:pPr>
        <w:jc w:val="both"/>
        <w:ind w:left="66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was a use of cash of $36.1 million in the first six months of fiscal 2026 compared to a use of cash of $116.7 million in the first six months of fiscal 2025, primarily driven by increased inventory purchases for Coach in the prior year to support sales growth and the strategic decision to pull forward receipts.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liabilities were a source of cash of $63.5 million in the first six months of fiscal 2026 compared to a use of cash of $11.7 million in the first six months of fiscal 2025, primarily driven by an increase in accrued duty due to higher tariffs, increase in senior notes accrued interest due to timing of payments, partially offset by a decrease in other tax liabilities and higher Annual Incentive Plan payments compared to the prior year.</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Accounts payable were a source of cash of $109.4 million in the first six months of fiscal 2026 compared to a source of cash of $61.4 million in the first six months of fiscal 2025, primarily driven by an increase in marketing spend, timing of information technology payments and lower spending in the prior year for professional fees.</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in the first six months of fiscal 2026 was $25.9 million as compared to a source of cash of $979.4 million in the first six months of fiscal 2025, resulting in a $953.5 million decrease in net cash provided by investing activities.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$25.9 million source of cash in the first six months of fiscal 2026 was primarily due to proceeds from the divestiture of the Stuart Weitzman Business of $109.6 million, partially offset by purchases of property and equipment of $76.0 million.</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$979.4 million source of cash in the first six months of fiscal 2025 was primarily due to maturities and sales of investments of $2.92 billion, partially offset by purchases of investments of $1.89 billion, mainly related to the proceeds of the Capri Acquisition Senior Notes.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$1.26 billion in the first six months of fiscal 2026 as compared to a use of cash of $6.78 billion in the first six months of fiscal 2025, resulting in a net decrease in use of cash for financing activities of $5.52 billion.</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$1.26 billion of cash used in the first six months of fiscal 2026 was primarily due to repurchase of common stock of $1.10 billion.</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$6.78 billion use of cash in the first six months of fiscal 2025 was primarily due to the repayment of debt of $6.86 billion, which mainly included the Capri Acquisition Senior Notes, use of cash of $2.01 billion under the Company's accelerated share repurchase program partially offset by proceeds from the issuance of debt of $2.25 billion.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9" w:name="page50"/>
    <w:bookmarkEnd w:id="49"/>
    <w:p>
      <w:pPr>
        <w:ind w:left="34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was $(9.8) million as compared to $12.3 million in the first six months of fiscal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 and Capital Expenditures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financial condition as of December 27, 2025 and June 28,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6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27, 2025</w:t>
            </w: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June 28, 2025</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Change</w:t>
            </w:r>
          </w:p>
        </w:tc>
      </w:tr>
      <w:tr>
        <w:trPr>
          <w:trHeight w:val="190"/>
        </w:trPr>
        <w:tc>
          <w:tcPr>
            <w:tcW w:w="21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6"/>
        </w:trPr>
        <w:tc>
          <w:tcPr>
            <w:tcW w:w="6880" w:type="dxa"/>
            <w:vAlign w:val="bottom"/>
            <w:gridSpan w:val="2"/>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b w:val="1"/>
                <w:bCs w:val="1"/>
                <w:color w:val="auto"/>
              </w:rPr>
              <w:t>Cash and cash equivalents</w:t>
            </w:r>
            <w:r>
              <w:rPr>
                <w:rFonts w:ascii="Times New Roman" w:cs="Times New Roman" w:eastAsia="Times New Roman" w:hAnsi="Times New Roman"/>
                <w:sz w:val="23"/>
                <w:szCs w:val="23"/>
                <w:b w:val="1"/>
                <w:bCs w:val="1"/>
                <w:color w:val="auto"/>
                <w:vertAlign w:val="superscript"/>
              </w:rPr>
              <w:t>(1)</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1,053.3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9"/>
        </w:trPr>
        <w:tc>
          <w:tcPr>
            <w:tcW w:w="68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Short-term investments</w:t>
            </w:r>
            <w:r>
              <w:rPr>
                <w:rFonts w:ascii="Times New Roman" w:cs="Times New Roman" w:eastAsia="Times New Roman" w:hAnsi="Times New Roman"/>
                <w:sz w:val="23"/>
                <w:szCs w:val="23"/>
                <w:b w:val="1"/>
                <w:bCs w:val="1"/>
                <w:color w:val="auto"/>
                <w:vertAlign w:val="superscript"/>
              </w:rPr>
              <w:t>(1)</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68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Current debt</w:t>
            </w:r>
            <w:r>
              <w:rPr>
                <w:rFonts w:ascii="Times New Roman" w:cs="Times New Roman" w:eastAsia="Times New Roman" w:hAnsi="Times New Roman"/>
                <w:sz w:val="23"/>
                <w:szCs w:val="23"/>
                <w:b w:val="1"/>
                <w:bCs w:val="1"/>
                <w:color w:val="auto"/>
                <w:vertAlign w:val="superscript"/>
              </w:rPr>
              <w:t>(2)</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68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Long-term debt</w:t>
            </w:r>
            <w:r>
              <w:rPr>
                <w:rFonts w:ascii="Times New Roman" w:cs="Times New Roman" w:eastAsia="Times New Roman" w:hAnsi="Times New Roman"/>
                <w:sz w:val="23"/>
                <w:szCs w:val="23"/>
                <w:b w:val="1"/>
                <w:bCs w:val="1"/>
                <w:color w:val="auto"/>
                <w:vertAlign w:val="superscript"/>
              </w:rPr>
              <w:t>(2)</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(2,379.3)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8"/>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180" w:type="dxa"/>
            <w:vAlign w:val="bottom"/>
            <w:tcBorders>
              <w:bottom w:val="single" w:sz="8" w:color="auto"/>
            </w:tcBorders>
          </w:tcPr>
          <w:p>
            <w:pPr>
              <w:spacing w:after="0"/>
              <w:rPr>
                <w:sz w:val="13"/>
                <w:szCs w:val="13"/>
                <w:color w:val="auto"/>
              </w:rPr>
            </w:pPr>
          </w:p>
        </w:tc>
        <w:tc>
          <w:tcPr>
            <w:tcW w:w="4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r>
    </w:tbl>
    <w:p>
      <w:pPr>
        <w:spacing w:after="0" w:line="141" w:lineRule="exact"/>
        <w:rPr>
          <w:sz w:val="20"/>
          <w:szCs w:val="20"/>
          <w:color w:val="auto"/>
        </w:rPr>
      </w:pPr>
    </w:p>
    <w:p>
      <w:pPr>
        <w:ind w:left="260" w:hanging="252"/>
        <w:spacing w:after="0"/>
        <w:tabs>
          <w:tab w:leader="none" w:pos="26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December 27, 2025, approximately 42% of our cash and short-term investments were held outside the United States.</w:t>
      </w:r>
    </w:p>
    <w:p>
      <w:pPr>
        <w:spacing w:after="0" w:line="82" w:lineRule="exact"/>
        <w:rPr>
          <w:rFonts w:ascii="Times New Roman" w:cs="Times New Roman" w:eastAsia="Times New Roman" w:hAnsi="Times New Roman"/>
          <w:sz w:val="23"/>
          <w:szCs w:val="23"/>
          <w:color w:val="auto"/>
          <w:vertAlign w:val="superscript"/>
        </w:rPr>
      </w:pPr>
    </w:p>
    <w:p>
      <w:pPr>
        <w:ind w:left="260" w:hanging="252"/>
        <w:spacing w:after="0" w:line="219" w:lineRule="auto"/>
        <w:tabs>
          <w:tab w:leader="none" w:pos="26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Refer to Note 11, "Debt" for discussion of the carrying values of our debt.</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primary sources of liquidity are the cash flows generated from our operations, our cash and cash equivalents and short-term investments, availability under our credit facilities, and other available financing options.</w:t>
      </w:r>
    </w:p>
    <w:p>
      <w:pPr>
        <w:spacing w:after="0" w:line="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total availability, borrowings outstanding and remaining availability under our credit facilities as of December 27, 2025:</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 Availability</w:t>
            </w:r>
          </w:p>
        </w:tc>
        <w:tc>
          <w:tcPr>
            <w:tcW w:w="2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w w:val="99"/>
              </w:rPr>
              <w:t>Borrowings Outstanding</w:t>
            </w:r>
          </w:p>
        </w:tc>
        <w:tc>
          <w:tcPr>
            <w:tcW w:w="2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Remaining Availability</w:t>
            </w:r>
          </w:p>
        </w:tc>
        <w:tc>
          <w:tcPr>
            <w:tcW w:w="0" w:type="dxa"/>
            <w:vAlign w:val="bottom"/>
          </w:tcPr>
          <w:p>
            <w:pPr>
              <w:spacing w:after="0"/>
              <w:rPr>
                <w:sz w:val="1"/>
                <w:szCs w:val="1"/>
                <w:color w:val="auto"/>
              </w:rPr>
            </w:pPr>
          </w:p>
        </w:tc>
      </w:tr>
      <w:tr>
        <w:trPr>
          <w:trHeight w:val="190"/>
        </w:trPr>
        <w:tc>
          <w:tcPr>
            <w:tcW w:w="4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5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b w:val="1"/>
                <w:bCs w:val="1"/>
                <w:color w:val="auto"/>
              </w:rPr>
              <w:t>Amended Revolving Credit Facility and Commercial</w:t>
            </w: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9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2,000.0</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180" w:type="dxa"/>
            <w:vAlign w:val="bottom"/>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w:t>
            </w:r>
          </w:p>
        </w:tc>
        <w:tc>
          <w:tcPr>
            <w:tcW w:w="2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2,000.0</w:t>
            </w:r>
          </w:p>
        </w:tc>
        <w:tc>
          <w:tcPr>
            <w:tcW w:w="0" w:type="dxa"/>
            <w:vAlign w:val="bottom"/>
          </w:tcPr>
          <w:p>
            <w:pPr>
              <w:spacing w:after="0"/>
              <w:rPr>
                <w:sz w:val="1"/>
                <w:szCs w:val="1"/>
                <w:color w:val="auto"/>
              </w:rPr>
            </w:pPr>
          </w:p>
        </w:tc>
      </w:tr>
      <w:tr>
        <w:trPr>
          <w:trHeight w:val="240"/>
        </w:trPr>
        <w:tc>
          <w:tcPr>
            <w:tcW w:w="4500" w:type="dxa"/>
            <w:vAlign w:val="bottom"/>
            <w:shd w:val="clear" w:color="auto" w:fill="CCEEFF"/>
          </w:tcPr>
          <w:p>
            <w:pPr>
              <w:ind w:left="20"/>
              <w:spacing w:after="0" w:line="240" w:lineRule="exact"/>
              <w:rPr>
                <w:sz w:val="20"/>
                <w:szCs w:val="20"/>
                <w:color w:val="auto"/>
              </w:rPr>
            </w:pPr>
            <w:r>
              <w:rPr>
                <w:rFonts w:ascii="Times New Roman" w:cs="Times New Roman" w:eastAsia="Times New Roman" w:hAnsi="Times New Roman"/>
                <w:sz w:val="18"/>
                <w:szCs w:val="18"/>
                <w:b w:val="1"/>
                <w:bCs w:val="1"/>
                <w:color w:val="auto"/>
              </w:rPr>
              <w:t>Paper Program</w:t>
            </w:r>
            <w:r>
              <w:rPr>
                <w:rFonts w:ascii="Times New Roman" w:cs="Times New Roman" w:eastAsia="Times New Roman" w:hAnsi="Times New Roman"/>
                <w:sz w:val="23"/>
                <w:szCs w:val="23"/>
                <w:b w:val="1"/>
                <w:bCs w:val="1"/>
                <w:color w:val="auto"/>
                <w:vertAlign w:val="superscript"/>
              </w:rPr>
              <w:t>(1)(2)</w:t>
            </w:r>
          </w:p>
        </w:tc>
        <w:tc>
          <w:tcPr>
            <w:tcW w:w="260" w:type="dxa"/>
            <w:vAlign w:val="bottom"/>
            <w:vMerge w:val="continue"/>
            <w:shd w:val="clear" w:color="auto" w:fill="CCEEFF"/>
          </w:tcPr>
          <w:p>
            <w:pPr>
              <w:spacing w:after="0"/>
              <w:rPr>
                <w:sz w:val="20"/>
                <w:szCs w:val="20"/>
                <w:color w:val="auto"/>
              </w:rPr>
            </w:pPr>
          </w:p>
        </w:tc>
        <w:tc>
          <w:tcPr>
            <w:tcW w:w="1940" w:type="dxa"/>
            <w:vAlign w:val="bottom"/>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2180" w:type="dxa"/>
            <w:vAlign w:val="bottom"/>
            <w:vMerge w:val="continue"/>
            <w:shd w:val="clear" w:color="auto" w:fill="CCEEFF"/>
          </w:tcPr>
          <w:p>
            <w:pPr>
              <w:spacing w:after="0"/>
              <w:rPr>
                <w:sz w:val="20"/>
                <w:szCs w:val="20"/>
                <w:color w:val="auto"/>
              </w:rPr>
            </w:pPr>
          </w:p>
        </w:tc>
        <w:tc>
          <w:tcPr>
            <w:tcW w:w="21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China Credit Facility</w:t>
            </w:r>
            <w:r>
              <w:rPr>
                <w:rFonts w:ascii="Times New Roman" w:cs="Times New Roman" w:eastAsia="Times New Roman" w:hAnsi="Times New Roman"/>
                <w:sz w:val="23"/>
                <w:szCs w:val="23"/>
                <w:b w:val="1"/>
                <w:bCs w:val="1"/>
                <w:color w:val="auto"/>
                <w:vertAlign w:val="superscript"/>
              </w:rPr>
              <w:t>(1)(3)</w:t>
            </w:r>
          </w:p>
        </w:tc>
        <w:tc>
          <w:tcPr>
            <w:tcW w:w="260" w:type="dxa"/>
            <w:vAlign w:val="bottom"/>
          </w:tcPr>
          <w:p>
            <w:pPr>
              <w:spacing w:after="0"/>
              <w:rPr>
                <w:sz w:val="24"/>
                <w:szCs w:val="24"/>
                <w:color w:val="auto"/>
              </w:rPr>
            </w:pP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35.7</w:t>
            </w:r>
          </w:p>
        </w:tc>
        <w:tc>
          <w:tcPr>
            <w:tcW w:w="200" w:type="dxa"/>
            <w:vAlign w:val="bottom"/>
          </w:tcPr>
          <w:p>
            <w:pPr>
              <w:spacing w:after="0"/>
              <w:rPr>
                <w:sz w:val="24"/>
                <w:szCs w:val="24"/>
                <w:color w:val="auto"/>
              </w:rPr>
            </w:pPr>
          </w:p>
        </w:tc>
        <w:tc>
          <w:tcPr>
            <w:tcW w:w="2180" w:type="dxa"/>
            <w:vAlign w:val="bottom"/>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17.1</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3798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41" w:lineRule="exact"/>
        <w:rPr>
          <w:sz w:val="20"/>
          <w:szCs w:val="20"/>
          <w:color w:val="auto"/>
        </w:rPr>
      </w:pPr>
    </w:p>
    <w:p>
      <w:pPr>
        <w:ind w:left="260" w:hanging="252"/>
        <w:spacing w:after="0"/>
        <w:tabs>
          <w:tab w:leader="none" w:pos="26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Refer to Note 11, "Debt" for further information on these instruments.</w:t>
      </w:r>
    </w:p>
    <w:p>
      <w:pPr>
        <w:spacing w:after="0" w:line="89"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77"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Borrowings under the Commercial Paper Program are supported by the Amended Revolving Credit Facility. Accordingly, aggregate borrowings outstanding under the Commercial Paper Program and the Amended Revolving Credit Facility will not exceed $2.00 billion.</w:t>
      </w:r>
    </w:p>
    <w:p>
      <w:pPr>
        <w:spacing w:after="0" w:line="60" w:lineRule="exact"/>
        <w:rPr>
          <w:rFonts w:ascii="Times New Roman" w:cs="Times New Roman" w:eastAsia="Times New Roman" w:hAnsi="Times New Roman"/>
          <w:sz w:val="23"/>
          <w:szCs w:val="23"/>
          <w:color w:val="auto"/>
          <w:vertAlign w:val="superscript"/>
        </w:rPr>
      </w:pPr>
    </w:p>
    <w:p>
      <w:pPr>
        <w:ind w:left="260" w:hanging="252"/>
        <w:spacing w:after="0"/>
        <w:tabs>
          <w:tab w:leader="none" w:pos="26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carrying amounts of the China Credit Facility include the impact of changes in the exchange rate of the United States Dollar against the Renminbi.</w:t>
      </w:r>
    </w:p>
    <w:p>
      <w:pPr>
        <w:spacing w:after="0" w:line="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our Amended Revolving Credit Facility is adequately diversified with no undue concentrations in any one financial institution. As of December 27, 2025, there were 18 financial institutions participating in the Amended Revolving Credit Facility, with no one participant maintaining a combined maximum commitment percentage in excess of 10%. We have no reason to believe at this time that the participating institutions will be unable to fulfill their obligations to provide financing in accordance with the terms of the facility in the event we elect to draw funds in the foreseeable future.</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the ability to draw on our credit facilities or access other sources of financing options available to us in the credit and capital markets for, among other things, acquisition or integration-related costs, our restructuring initiatives, settlement of a material contingency, or a material adverse business or macroeconomic development, as well as for other general corporate business purposes.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0" w:name="page51"/>
    <w:bookmarkEnd w:id="50"/>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Management believes that cash flows from operations, access to the credit and capital markets and our credit lines, on-hand cash and cash equivalents and our investments will provide adequate funds to support our operating, capital and debt service requirements for fiscal 2026 and beyond. There can be no assurance that any such capital will be available to the Company on acceptable terms or at all. Our ability to fund working capital needs, planned capital expenditures and scheduled debt payments, as well as to comply with all of the financial covenants under our debt agreements, depends on future operating performance and cash flow. This future operating performance and cash flow are subject to prevailing economic conditions, and to financial, business and other factors, some of which are beyond the Company's control.</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Reference should be made to our most recent Annual Report on Form 10-K and other filings with the SEC for additional information regarding liquidity and capital resources.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Commercial Paper Program</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24, 2025, the Company entered into a commercial paper borrowing program (the "Commercial Paper Program") that provides for the issuance of up to $2.00 billion of unsecured commercial paper notes with maturities up to 365 days. Borrowings under the Commercial Paper Program are supported by the Amended Revolving Credit Facility and may be used to support the Company's general corporate needs. The aggregate amount of borrowings outstanding under the Commercial Paper Program and Amended Revolving Credit Facility will not exceed $2.00 billion. As of December 27, 2025, the Company had no borrowings outstanding under the Commercial Paper Program. Refer to Note 11, "Debt" for further information.</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Stuart Weitzman Business Divestiture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16, 2025, the Company entered into a Purchase Agreement to sell the Stuart Weitzman Business for total cash consideration of $105.0 million, subject to customary adjustments. The sale was completed on August 4, 2025. Refer to Note 5, "Acquisitions and Divestitures" for further information.</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Supply Chain Finance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improve our working capital efficiency, we make available to certain suppliers, a voluntary supply chain finance (“SCF”) program that enables our suppliers to sell their receivables from the Company to a global financial institution on a non-recourse basis at a rate that leverages our credit rating. We do not have the ability to refinance or modify payment terms to the global financial institution through the SCF program. No guarantees are provided by the Company or any of our subsidiaries under the SCF program. Refer to Note 2, "Basis of Presentation and Organization," for additional information.</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December 27, 2025, capital expenditures and cloud computing implementation costs were $54.2 million and $92.2 million, respectively. The Company expects total fiscal 2026 capital expenditures and cloud computing costs to be approximately $200.0 million. Certain cloud computing implementation costs are recognized within Prepaid expenses and Other assets on the Condensed Consolidated Balance Sheets.</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Plan</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2026 Share Repurchase Program</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September 10, 2025, the Company announced that the Board authorized the Company to repurchase up to $3.00 billion of its outstanding common stock (the "2026 Share Repurchase Program"), replacing the 2022 Share Repurchase Program which had $561.7 million of remaining authorization.</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December 27, 2025, the Company repurchased $400.0 million of common stock. During the six months ended December 27, 2025, the Company repurchased $900.0 million of common stock, $238.3 million under the 2022 Share Repurchase Program and $661.7 million under the 2026 Share Repurchase Program. As of December 27, 2025, the Company had $2.34 billion of remaining repurchase authorization under the 2026 Share Repurchase Program.</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2025 Share Repurchase Program</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November 13, 2024, the Board authorized the Company to repurchase up to $2.00 billion of outstanding shares of its common stock (the "2025 Share Repurchase Program"). On November 21, 2024, the Company entered into accelerated share repurchase agreements (the “ASR Agreements”) with Bank of America, N.A. and Morgan Stanley &amp; Co. LLC (the “Dealers”) to repurchase an aggregate of up to $2.00 billion of the Company’s shares of common stock. Under the ASR Agreements, the Company paid $2.00 billion to the Dealers and received an initial delivery of 28,363,766 shares of the Company's common stock on November 26, 2024. Final settlement was based on the volume-weighted average price ("VWAP") of the Company's common stock, less a discount, and occurred in four tranches. During the year ended June 28, 2025 and the quarter ended September 27, 2025, as a result of the increase in the VWAP of the Company's common stock, the Company cash-settled $6.6 million related to 92,536 shares of common stock and $195.7 million related to 1,838,270 shares of common stock,</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1" w:name="page52"/>
    <w:bookmarkEnd w:id="51"/>
    <w:p>
      <w:pPr>
        <w:ind w:right="720"/>
        <w:spacing w:after="0" w:line="406" w:lineRule="auto"/>
        <w:rPr>
          <w:sz w:val="20"/>
          <w:szCs w:val="20"/>
          <w:color w:val="auto"/>
        </w:rPr>
      </w:pPr>
      <w:r>
        <w:rPr>
          <w:rFonts w:ascii="Times New Roman" w:cs="Times New Roman" w:eastAsia="Times New Roman" w:hAnsi="Times New Roman"/>
          <w:sz w:val="18"/>
          <w:szCs w:val="18"/>
          <w:color w:val="auto"/>
        </w:rPr>
        <w:t xml:space="preserve">respectively, which completed the agreement. The average share price for the 28,363,766 shares received under the ASR Agreements was $77.64. </w:t>
      </w:r>
      <w:r>
        <w:rPr>
          <w:rFonts w:ascii="Times New Roman" w:cs="Times New Roman" w:eastAsia="Times New Roman" w:hAnsi="Times New Roman"/>
          <w:sz w:val="18"/>
          <w:szCs w:val="18"/>
          <w:b w:val="1"/>
          <w:bCs w:val="1"/>
          <w:color w:val="auto"/>
        </w:rPr>
        <w:t>CRITICAL ACCOUNTING POLICIES AND ESTIMATES</w:t>
      </w:r>
    </w:p>
    <w:p>
      <w:pPr>
        <w:spacing w:after="0" w:line="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3 to the audited consolidated financial statements in our Annual Report on Form 10-K for fiscal 2025. Our discussion of results of operations and financial condition relies on our condensed consolidated financial statements that are prepared based on certain critical accounting policies that require management to make judgments and estimates which are subject to varying degrees of uncertainty. While we believe that these accounting policies are based on sound measurement criteria, actual future events can and often do result in outcomes that can be materially different from these estimates or forecasts.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a complete discussion of our critical accounting policies and estimates, see the "Critical Accounting Policies and Estimates" section of the Management's Discussion and Analysis of Financial Condition and Results of Operations in our Annual Report on Form 10-K for fiscal 2025. As of December 27, 2025, there have been no material changes to any of the critical accounting policies.</w:t>
      </w:r>
    </w:p>
    <w:p>
      <w:pPr>
        <w:spacing w:after="0" w:line="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performs its annual impairment assessment of goodwill as well as brand intangibles at the beginning of the fourth quarter of each fiscal year. In all fiscal years, the fair values of our Coach brand reporting units significantly exceeded their respective carrying values. During the fourth quarter of fiscal year 2025, the Company recorded $244.1 million of impairment charges related to goodwill for the Kate Spade reporting unit and $610.7 million of impairment charges related to the Kate Spade indefinite-lived brand intangible. Several factors could impact the Kate Spade brand's ability to achieve expected future cash flows, including the optimization of the store fleet productivity, the success of international expansion strategies, the impact of promotional activity, continued economic volatility and potential operational challenges related to the macroeconomic factors, the reception of new collections in all business channels and other initiatives aimed at increasing profitability of the business. If profitability trends decline during fiscal 2026 from those that are expected, it is possible that an interim test, or our annual impairment test, could result in an impairment of these assets.</w:t>
      </w:r>
    </w:p>
    <w:p>
      <w:pPr>
        <w:spacing w:after="0" w:line="1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have been no significant changes to the Company's market risk or the way the Company manages these exposures as set forth in Part II, Item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7A. "Quantitative and Qualitative Disclosures About Market Risk" in the Company’s Annual Report on Form 10-K for the fiscal year ended June 28,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8, "Derivative Instruments and Hedging Activities," and Note 11, "Debt," included in Part I of this Form 10-Q for additional information.</w:t>
      </w:r>
    </w:p>
    <w:p>
      <w:pPr>
        <w:spacing w:after="0" w:line="1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evaluated under the supervision and with the participation of management, including our principal executive and principal financial officers, the effectiveness of our disclosure controls and procedures, as defined in Rules 13a-15(e) and 15d-15(e) of the Securities Exchange Act of 1934, as amended, as of the end of the fiscal quarter covered by this quarterly report. Based on that evaluation, our principal executive and principal financial officers have concluded that the Company's disclosure controls and procedures were effective at the reasonable assurance level as of the fiscal quarter-end covered by this quarterly report on Form 10-Q.</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second quarter of 2026 that were identified in connection with management's evaluation required by paragraph (d) of Rules 13a-15 and 15d-15 under the Securities Exchange Act of 1934, as amended, that have materially affected, or are reasonably likely to materially affect, the Company's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ind w:left="18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discussion of legal proceedings in Note 14, "Commitments and Contingencies," in the accompanying consolidated financial statements.</w:t>
      </w:r>
    </w:p>
    <w:p>
      <w:pPr>
        <w:spacing w:after="0" w:line="1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Refer to Part I, Item 1A, "Risk Factors" in our Annual Report on Form 10-K for the fiscal year ended June 28, 2025 for a description of certain significant risks and uncertainties to which our business, financial condition and results of operations are subject.</w:t>
      </w:r>
    </w:p>
    <w:p>
      <w:pPr>
        <w:spacing w:after="0" w:line="104" w:lineRule="exact"/>
        <w:rPr>
          <w:sz w:val="20"/>
          <w:szCs w:val="20"/>
          <w:color w:val="auto"/>
        </w:rPr>
      </w:pPr>
    </w:p>
    <w:p>
      <w:pPr>
        <w:ind w:left="980" w:right="1060" w:hanging="809"/>
        <w:spacing w:after="0" w:line="286"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5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Company's purchases of shares of common stock during the second quarter of fiscal 2026 related to the Company's share repurchase program:</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Fiscal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3488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September 28, 2025 - November 1, 2025</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2, 2025 - November 29, 2025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30, 2025 - December 27, 2025</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3798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c>
          <w:tcPr>
            <w:tcW w:w="0" w:type="dxa"/>
            <w:vAlign w:val="bottom"/>
          </w:tcPr>
          <w:p>
            <w:pPr>
              <w:spacing w:after="0"/>
              <w:rPr>
                <w:sz w:val="1"/>
                <w:szCs w:val="1"/>
                <w:color w:val="auto"/>
              </w:rPr>
            </w:pPr>
          </w:p>
        </w:tc>
      </w:tr>
      <w:tr>
        <w:trPr>
          <w:trHeight w:val="180"/>
        </w:trPr>
        <w:tc>
          <w:tcPr>
            <w:tcW w:w="18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200" w:type="dxa"/>
            <w:vAlign w:val="bottom"/>
          </w:tcPr>
          <w:p>
            <w:pPr>
              <w:spacing w:after="0"/>
              <w:rPr>
                <w:sz w:val="15"/>
                <w:szCs w:val="15"/>
                <w:color w:val="auto"/>
              </w:rPr>
            </w:pPr>
          </w:p>
        </w:tc>
        <w:tc>
          <w:tcPr>
            <w:tcW w:w="1300" w:type="dxa"/>
            <w:vAlign w:val="bottom"/>
            <w:vMerge w:val="restart"/>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194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2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8"/>
                <w:szCs w:val="18"/>
                <w:b w:val="1"/>
                <w:bCs w:val="1"/>
                <w:color w:val="auto"/>
              </w:rPr>
              <w:t>of Shares that May Yet be</w:t>
            </w:r>
          </w:p>
        </w:tc>
        <w:tc>
          <w:tcPr>
            <w:tcW w:w="0" w:type="dxa"/>
            <w:vAlign w:val="bottom"/>
          </w:tcPr>
          <w:p>
            <w:pPr>
              <w:spacing w:after="0"/>
              <w:rPr>
                <w:sz w:val="1"/>
                <w:szCs w:val="1"/>
                <w:color w:val="auto"/>
              </w:rPr>
            </w:pPr>
          </w:p>
        </w:tc>
      </w:tr>
      <w:tr>
        <w:trPr>
          <w:trHeight w:val="184"/>
        </w:trPr>
        <w:tc>
          <w:tcPr>
            <w:tcW w:w="18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940" w:type="dxa"/>
            <w:vAlign w:val="bottom"/>
            <w:gridSpan w:val="2"/>
          </w:tcPr>
          <w:p>
            <w:pPr>
              <w:jc w:val="center"/>
              <w:ind w:right="60"/>
              <w:spacing w:after="0" w:line="184" w:lineRule="exact"/>
              <w:rPr>
                <w:sz w:val="20"/>
                <w:szCs w:val="20"/>
                <w:color w:val="auto"/>
              </w:rPr>
            </w:pPr>
            <w:r>
              <w:rPr>
                <w:rFonts w:ascii="Times New Roman" w:cs="Times New Roman" w:eastAsia="Times New Roman" w:hAnsi="Times New Roman"/>
                <w:sz w:val="18"/>
                <w:szCs w:val="18"/>
                <w:b w:val="1"/>
                <w:bCs w:val="1"/>
                <w:color w:val="auto"/>
              </w:rPr>
              <w:t>Publicly Announced</w:t>
            </w:r>
          </w:p>
        </w:tc>
        <w:tc>
          <w:tcPr>
            <w:tcW w:w="216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Purchased Under the Plans</w:t>
            </w:r>
          </w:p>
        </w:tc>
        <w:tc>
          <w:tcPr>
            <w:tcW w:w="0" w:type="dxa"/>
            <w:vAlign w:val="bottom"/>
          </w:tcPr>
          <w:p>
            <w:pPr>
              <w:spacing w:after="0"/>
              <w:rPr>
                <w:sz w:val="1"/>
                <w:szCs w:val="1"/>
                <w:color w:val="auto"/>
              </w:rPr>
            </w:pPr>
          </w:p>
        </w:tc>
      </w:tr>
      <w:tr>
        <w:trPr>
          <w:trHeight w:val="229"/>
        </w:trPr>
        <w:tc>
          <w:tcPr>
            <w:tcW w:w="1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Shares Repurchased</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94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center"/>
              <w:ind w:right="230"/>
              <w:spacing w:after="0" w:line="230" w:lineRule="exact"/>
              <w:rPr>
                <w:sz w:val="20"/>
                <w:szCs w:val="20"/>
                <w:color w:val="auto"/>
              </w:rPr>
            </w:pPr>
            <w:r>
              <w:rPr>
                <w:rFonts w:ascii="Times New Roman" w:cs="Times New Roman" w:eastAsia="Times New Roman" w:hAnsi="Times New Roman"/>
                <w:sz w:val="18"/>
                <w:szCs w:val="18"/>
                <w:b w:val="1"/>
                <w:bCs w:val="1"/>
                <w:color w:val="auto"/>
                <w:w w:val="95"/>
              </w:rPr>
              <w:t>or Programs</w:t>
            </w:r>
            <w:r>
              <w:rPr>
                <w:rFonts w:ascii="Times New Roman" w:cs="Times New Roman" w:eastAsia="Times New Roman" w:hAnsi="Times New Roman"/>
                <w:sz w:val="23"/>
                <w:szCs w:val="23"/>
                <w:b w:val="1"/>
                <w:bCs w:val="1"/>
                <w:color w:val="auto"/>
                <w:w w:val="95"/>
                <w:vertAlign w:val="superscript"/>
              </w:rPr>
              <w:t>(1)</w:t>
            </w:r>
          </w:p>
        </w:tc>
        <w:tc>
          <w:tcPr>
            <w:tcW w:w="0" w:type="dxa"/>
            <w:vAlign w:val="bottom"/>
          </w:tcPr>
          <w:p>
            <w:pPr>
              <w:spacing w:after="0"/>
              <w:rPr>
                <w:sz w:val="1"/>
                <w:szCs w:val="1"/>
                <w:color w:val="auto"/>
              </w:rPr>
            </w:pPr>
          </w:p>
        </w:tc>
      </w:tr>
      <w:tr>
        <w:trPr>
          <w:trHeight w:val="184"/>
        </w:trPr>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 except share data and per share data)</w:t>
            </w:r>
          </w:p>
        </w:tc>
        <w:tc>
          <w:tcPr>
            <w:tcW w:w="3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1,310,847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114.43</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1,310,847</w:t>
            </w:r>
          </w:p>
        </w:tc>
        <w:tc>
          <w:tcPr>
            <w:tcW w:w="60" w:type="dxa"/>
            <w:vAlign w:val="bottom"/>
          </w:tcPr>
          <w:p>
            <w:pPr>
              <w:spacing w:after="0"/>
              <w:rPr>
                <w:sz w:val="20"/>
                <w:szCs w:val="20"/>
                <w:color w:val="auto"/>
              </w:rPr>
            </w:pP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2,588.4</w:t>
            </w:r>
          </w:p>
        </w:tc>
        <w:tc>
          <w:tcPr>
            <w:tcW w:w="0" w:type="dxa"/>
            <w:vAlign w:val="bottom"/>
          </w:tcPr>
          <w:p>
            <w:pPr>
              <w:spacing w:after="0"/>
              <w:rPr>
                <w:sz w:val="1"/>
                <w:szCs w:val="1"/>
                <w:color w:val="auto"/>
              </w:rPr>
            </w:pPr>
          </w:p>
        </w:tc>
      </w:tr>
      <w:tr>
        <w:trPr>
          <w:trHeight w:val="229"/>
        </w:trPr>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1,226,090</w:t>
            </w:r>
          </w:p>
        </w:tc>
        <w:tc>
          <w:tcPr>
            <w:tcW w:w="200" w:type="dxa"/>
            <w:vAlign w:val="bottom"/>
          </w:tcPr>
          <w:p>
            <w:pPr>
              <w:spacing w:after="0"/>
              <w:rPr>
                <w:sz w:val="19"/>
                <w:szCs w:val="19"/>
                <w:color w:val="auto"/>
              </w:rPr>
            </w:pP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104.61</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1,226,090</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2,460.1</w:t>
            </w:r>
          </w:p>
        </w:tc>
        <w:tc>
          <w:tcPr>
            <w:tcW w:w="0" w:type="dxa"/>
            <w:vAlign w:val="bottom"/>
          </w:tcPr>
          <w:p>
            <w:pPr>
              <w:spacing w:after="0"/>
              <w:rPr>
                <w:sz w:val="1"/>
                <w:szCs w:val="1"/>
                <w:color w:val="auto"/>
              </w:rPr>
            </w:pPr>
          </w:p>
        </w:tc>
      </w:tr>
      <w:tr>
        <w:trPr>
          <w:trHeight w:val="234"/>
        </w:trPr>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1,030,781</w:t>
            </w:r>
          </w:p>
        </w:tc>
        <w:tc>
          <w:tcPr>
            <w:tcW w:w="200" w:type="dxa"/>
            <w:vAlign w:val="bottom"/>
          </w:tcPr>
          <w:p>
            <w:pPr>
              <w:spacing w:after="0"/>
              <w:rPr>
                <w:sz w:val="20"/>
                <w:szCs w:val="20"/>
                <w:color w:val="auto"/>
              </w:rPr>
            </w:pP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118.10</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1,030,781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2,338.4</w:t>
            </w:r>
          </w:p>
        </w:tc>
        <w:tc>
          <w:tcPr>
            <w:tcW w:w="0" w:type="dxa"/>
            <w:vAlign w:val="bottom"/>
          </w:tcPr>
          <w:p>
            <w:pPr>
              <w:spacing w:after="0"/>
              <w:rPr>
                <w:sz w:val="1"/>
                <w:szCs w:val="1"/>
                <w:color w:val="auto"/>
              </w:rPr>
            </w:pPr>
          </w:p>
        </w:tc>
      </w:tr>
      <w:tr>
        <w:trPr>
          <w:trHeight w:val="223"/>
        </w:trPr>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3,567,718</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3,567,718</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-625475</wp:posOffset>
            </wp:positionV>
            <wp:extent cx="713232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-334010</wp:posOffset>
            </wp:positionV>
            <wp:extent cx="713232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80" w:space="720"/>
            <w:col w:w="7440"/>
          </w:cols>
          <w:pgMar w:left="320" w:top="887" w:right="339" w:bottom="1440" w:gutter="0" w:footer="0" w:header="0"/>
          <w:type w:val="continuous"/>
        </w:sectPr>
      </w:pPr>
    </w:p>
    <w:p>
      <w:pPr>
        <w:spacing w:after="0" w:line="133" w:lineRule="exact"/>
        <w:rPr>
          <w:sz w:val="20"/>
          <w:szCs w:val="20"/>
          <w:color w:val="auto"/>
        </w:rPr>
      </w:pPr>
    </w:p>
    <w:p>
      <w:pPr>
        <w:jc w:val="both"/>
        <w:ind w:left="340" w:right="20" w:hanging="332"/>
        <w:spacing w:after="0" w:line="235" w:lineRule="auto"/>
        <w:tabs>
          <w:tab w:leader="none" w:pos="282"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September 10, 2025, the Company announced that the Board authorized the Company to repurchase up to $3.00 billion of its outstanding common stock (the "2026 Share Repurchase Program"). Purchases of the Company's common stock under this program were executed through open market purchases, including through purchase agreements under Rule 10b5-1.</w:t>
      </w:r>
    </w:p>
    <w:p>
      <w:pPr>
        <w:spacing w:after="0" w:line="1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27, 2025, there was no adoption, modification or termination of any Rule 10b5-1 plan or other trading arrangements by our directors and officers, except as follows: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19, 2025, Joanne Crevoiserat, Chief Executive Officer and Director of Tapestry, Inc. adopted a trading plan intended to satisfy the affirmative defense of Rule 10b5-1(c) to sell up to 264,247 shares of Tapestry, Inc. common stock. Unless otherwise terminated pursuant to its terms, the plan will terminate on December 31, 2026, or when all shares under the plan are sold.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53" w:name="page54"/>
    <w:bookmarkEnd w:id="53"/>
    <w:tbl>
      <w:tblPr>
        <w:tblLayout w:type="fixed"/>
        <w:tblInd w:w="172"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10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324"/>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20" w:type="dxa"/>
            <w:vAlign w:val="bottom"/>
          </w:tcPr>
          <w:p>
            <w:pPr>
              <w:spacing w:after="0"/>
              <w:rPr>
                <w:sz w:val="24"/>
                <w:szCs w:val="24"/>
                <w:color w:val="auto"/>
              </w:rPr>
            </w:pPr>
          </w:p>
        </w:tc>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 xml:space="preserve">Rule 13(a)-14(a)/15(d)-14(a) Certification </w:t>
            </w:r>
            <w:r>
              <w:rPr>
                <w:rFonts w:ascii="Times New Roman" w:cs="Times New Roman" w:eastAsia="Times New Roman" w:hAnsi="Times New Roman"/>
                <w:sz w:val="18"/>
                <w:szCs w:val="18"/>
                <w:color w:val="000000"/>
                <w:w w:val="99"/>
              </w:rPr>
              <w:t>of the Company's Chief Executive Officer</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gridSpan w:val="2"/>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09"/>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20" w:type="dxa"/>
            <w:vAlign w:val="bottom"/>
          </w:tcPr>
          <w:p>
            <w:pPr>
              <w:spacing w:after="0"/>
              <w:rPr>
                <w:sz w:val="18"/>
                <w:szCs w:val="18"/>
                <w:color w:val="auto"/>
              </w:rPr>
            </w:pPr>
          </w:p>
        </w:tc>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 xml:space="preserve">Rule 13(a)-14(a)/15(d)-14(a) Certification </w:t>
            </w:r>
            <w:r>
              <w:rPr>
                <w:rFonts w:ascii="Times New Roman" w:cs="Times New Roman" w:eastAsia="Times New Roman" w:hAnsi="Times New Roman"/>
                <w:sz w:val="18"/>
                <w:szCs w:val="18"/>
                <w:color w:val="000000"/>
              </w:rPr>
              <w:t>of the Company's Chief Financial Officer</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10"/>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32.1**</w:t>
            </w:r>
          </w:p>
        </w:tc>
        <w:tc>
          <w:tcPr>
            <w:tcW w:w="120" w:type="dxa"/>
            <w:vAlign w:val="bottom"/>
          </w:tcPr>
          <w:p>
            <w:pPr>
              <w:spacing w:after="0"/>
              <w:rPr>
                <w:sz w:val="18"/>
                <w:szCs w:val="18"/>
                <w:color w:val="auto"/>
              </w:rPr>
            </w:pPr>
          </w:p>
        </w:tc>
        <w:tc>
          <w:tcPr>
            <w:tcW w:w="9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Section 1350</w:t>
            </w: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Certification of the Company's Chief Executive Officer</w:t>
            </w:r>
          </w:p>
        </w:tc>
      </w:tr>
      <w:tr>
        <w:trPr>
          <w:trHeight w:val="209"/>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32.2**</w:t>
            </w:r>
          </w:p>
        </w:tc>
        <w:tc>
          <w:tcPr>
            <w:tcW w:w="120" w:type="dxa"/>
            <w:vAlign w:val="bottom"/>
          </w:tcPr>
          <w:p>
            <w:pPr>
              <w:spacing w:after="0"/>
              <w:rPr>
                <w:sz w:val="18"/>
                <w:szCs w:val="18"/>
                <w:color w:val="auto"/>
              </w:rPr>
            </w:pPr>
          </w:p>
        </w:tc>
        <w:tc>
          <w:tcPr>
            <w:tcW w:w="9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Section 1350</w:t>
            </w: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Certification of the Company's Chief Financial Officer</w:t>
            </w:r>
          </w:p>
        </w:tc>
      </w:tr>
      <w:tr>
        <w:trPr>
          <w:trHeight w:val="250"/>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1"/>
                <w:szCs w:val="21"/>
                <w:color w:val="auto"/>
              </w:rPr>
            </w:pPr>
          </w:p>
        </w:tc>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bl>
    <w:p>
      <w:pPr>
        <w:ind w:left="872"/>
        <w:spacing w:after="0" w:line="234" w:lineRule="auto"/>
        <w:rPr>
          <w:sz w:val="20"/>
          <w:szCs w:val="20"/>
          <w:color w:val="auto"/>
        </w:rPr>
      </w:pPr>
      <w:r>
        <w:rPr>
          <w:rFonts w:ascii="Times New Roman" w:cs="Times New Roman" w:eastAsia="Times New Roman" w:hAnsi="Times New Roman"/>
          <w:sz w:val="18"/>
          <w:szCs w:val="18"/>
          <w:i w:val="1"/>
          <w:iCs w:val="1"/>
          <w:color w:val="auto"/>
        </w:rPr>
        <w:t>Note: the instance document does not appear in the Interactive Data File because its XBRL tags are embedded within the Inline XBRL document.</w:t>
      </w:r>
    </w:p>
    <w:p>
      <w:pPr>
        <w:spacing w:after="0" w:line="24" w:lineRule="exact"/>
        <w:rPr>
          <w:sz w:val="20"/>
          <w:szCs w:val="20"/>
          <w:color w:val="auto"/>
        </w:rPr>
      </w:pPr>
    </w:p>
    <w:tbl>
      <w:tblPr>
        <w:tblLayout w:type="fixed"/>
        <w:tblInd w:w="152" w:type="dxa"/>
        <w:tblCellMar>
          <w:top w:w="0" w:type="dxa"/>
          <w:left w:w="0" w:type="dxa"/>
          <w:bottom w:w="0" w:type="dxa"/>
          <w:right w:w="0" w:type="dxa"/>
        </w:tblCellMar>
      </w:tblPr>
      <w:tr>
        <w:trPr>
          <w:trHeight w:val="22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2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w:t>
            </w: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bl>
    <w:p>
      <w:pPr>
        <w:ind w:left="-8" w:right="3700" w:firstLine="406"/>
        <w:spacing w:after="0" w:line="587" w:lineRule="auto"/>
        <w:tabs>
          <w:tab w:leader="none" w:pos="107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ind w:left="232" w:hanging="232"/>
        <w:spacing w:after="0"/>
        <w:tabs>
          <w:tab w:leader="none" w:pos="23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-396240</wp:posOffset>
            </wp:positionV>
            <wp:extent cx="13798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5532"/>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52"/>
          </w:cols>
          <w:pgMar w:left="328" w:top="1049" w:right="101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TAPESTRY, INC.</w:t>
      </w:r>
    </w:p>
    <w:p>
      <w:pPr>
        <w:spacing w:after="0" w:line="2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(Registrant)</w:t>
      </w:r>
    </w:p>
    <w:p>
      <w:pPr>
        <w:spacing w:after="0" w:line="247" w:lineRule="exact"/>
        <w:rPr>
          <w:sz w:val="20"/>
          <w:szCs w:val="20"/>
          <w:color w:val="auto"/>
        </w:rPr>
      </w:pPr>
    </w:p>
    <w:tbl>
      <w:tblPr>
        <w:tblLayout w:type="fixed"/>
        <w:tblInd w:w="632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Manesh B. Dadlani</w:t>
            </w:r>
          </w:p>
        </w:tc>
      </w:tr>
      <w:tr>
        <w:trPr>
          <w:trHeight w:val="21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Manesh B. Dadlani</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Controller</w:t>
            </w:r>
          </w:p>
        </w:tc>
      </w:tr>
      <w:tr>
        <w:trPr>
          <w:trHeight w:val="234"/>
        </w:trPr>
        <w:tc>
          <w:tcPr>
            <w:tcW w:w="82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5, 2026</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049"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Joanne C. Crevoiserat, certify that,</w:t>
      </w:r>
    </w:p>
    <w:p>
      <w:pPr>
        <w:spacing w:after="0" w:line="117"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Tapestry, Inc.;</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5, 2026</w:t>
      </w:r>
    </w:p>
    <w:p>
      <w:pPr>
        <w:spacing w:after="0" w:line="185"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Joanne C. Crevoiserat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0142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30" w:lineRule="exact"/>
        <w:rPr>
          <w:sz w:val="20"/>
          <w:szCs w:val="20"/>
          <w:color w:val="auto"/>
        </w:rPr>
      </w:pPr>
    </w:p>
    <w:p>
      <w:pPr>
        <w:ind w:left="480"/>
        <w:spacing w:after="0"/>
        <w:tabs>
          <w:tab w:leader="none" w:pos="1220" w:val="left"/>
        </w:tabs>
        <w:rPr>
          <w:sz w:val="20"/>
          <w:szCs w:val="20"/>
          <w:color w:val="auto"/>
        </w:rPr>
      </w:pPr>
      <w:r>
        <w:rPr>
          <w:rFonts w:ascii="Times New Roman" w:cs="Times New Roman" w:eastAsia="Times New Roman" w:hAnsi="Times New Roman"/>
          <w:sz w:val="18"/>
          <w:szCs w:val="18"/>
          <w:color w:val="auto"/>
        </w:rPr>
        <w:t>Name:</w:t>
        <w:tab/>
        <w:t>Joanne C. Crevoiserat</w:t>
      </w:r>
    </w:p>
    <w:p>
      <w:pPr>
        <w:spacing w:after="0" w:line="50" w:lineRule="exact"/>
        <w:rPr>
          <w:sz w:val="20"/>
          <w:szCs w:val="20"/>
          <w:color w:val="auto"/>
        </w:rPr>
      </w:pPr>
    </w:p>
    <w:p>
      <w:pPr>
        <w:ind w:left="480"/>
        <w:spacing w:after="0"/>
        <w:tabs>
          <w:tab w:leader="none" w:pos="12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995"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Scott A. Roe, certify that,</w:t>
      </w:r>
    </w:p>
    <w:p>
      <w:pPr>
        <w:spacing w:after="0" w:line="117"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Tapestry, Inc.;</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5, 2026</w:t>
      </w:r>
    </w:p>
    <w:p>
      <w:pPr>
        <w:spacing w:after="0" w:line="158"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Scott A. 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34290</wp:posOffset>
            </wp:positionV>
            <wp:extent cx="28803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Name:</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A. Roe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&amp; Chief Operating Officer</w:t>
      </w:r>
    </w:p>
    <w:p>
      <w:pPr>
        <w:sectPr>
          <w:pgSz w:w="11900" w:h="16838" w:orient="portrait"/>
          <w:cols w:equalWidth="0" w:num="2">
            <w:col w:w="980" w:space="280"/>
            <w:col w:w="9980"/>
          </w:cols>
          <w:pgMar w:left="320" w:top="995" w:right="339" w:bottom="1440" w:gutter="0" w:footer="0" w:header="0"/>
          <w:type w:val="continuous"/>
        </w:sectPr>
      </w:pPr>
    </w:p>
    <w:bookmarkStart w:id="57" w:name="page58"/>
    <w:bookmarkEnd w:id="57"/>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Tapestry, Inc.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certifies, to such officer’s knowledge, that:</w:t>
      </w:r>
    </w:p>
    <w:p>
      <w:pPr>
        <w:spacing w:after="0" w:line="99" w:lineRule="exact"/>
        <w:rPr>
          <w:sz w:val="20"/>
          <w:szCs w:val="20"/>
          <w:color w:val="auto"/>
        </w:rPr>
      </w:pPr>
    </w:p>
    <w:p>
      <w:pPr>
        <w:ind w:firstLine="332"/>
        <w:spacing w:after="0" w:line="282" w:lineRule="auto"/>
        <w:tabs>
          <w:tab w:leader="none" w:pos="97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fiscal quarter ended December 27, 2025 (the “Report”) fully complies with the requirements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right="40" w:firstLine="332"/>
        <w:spacing w:after="0" w:line="407" w:lineRule="auto"/>
        <w:tabs>
          <w:tab w:leader="none" w:pos="81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February 5, 2026</w:t>
      </w:r>
    </w:p>
    <w:p>
      <w:pPr>
        <w:spacing w:after="0" w:line="13"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Joanne C. Crevoiserat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0142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30" w:lineRule="exact"/>
        <w:rPr>
          <w:sz w:val="20"/>
          <w:szCs w:val="20"/>
          <w:color w:val="auto"/>
        </w:rPr>
      </w:pPr>
    </w:p>
    <w:p>
      <w:pPr>
        <w:ind w:left="480"/>
        <w:spacing w:after="0"/>
        <w:tabs>
          <w:tab w:leader="none" w:pos="1220" w:val="left"/>
        </w:tabs>
        <w:rPr>
          <w:sz w:val="20"/>
          <w:szCs w:val="20"/>
          <w:color w:val="auto"/>
        </w:rPr>
      </w:pPr>
      <w:r>
        <w:rPr>
          <w:rFonts w:ascii="Times New Roman" w:cs="Times New Roman" w:eastAsia="Times New Roman" w:hAnsi="Times New Roman"/>
          <w:sz w:val="18"/>
          <w:szCs w:val="18"/>
          <w:color w:val="auto"/>
        </w:rPr>
        <w:t>Name:</w:t>
        <w:tab/>
        <w:t>Joanne C. Crevoiserat</w:t>
      </w:r>
    </w:p>
    <w:p>
      <w:pPr>
        <w:spacing w:after="0" w:line="50" w:lineRule="exact"/>
        <w:rPr>
          <w:sz w:val="20"/>
          <w:szCs w:val="20"/>
          <w:color w:val="auto"/>
        </w:rPr>
      </w:pPr>
    </w:p>
    <w:p>
      <w:pPr>
        <w:ind w:left="480"/>
        <w:spacing w:after="0"/>
        <w:tabs>
          <w:tab w:leader="none" w:pos="12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12"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Tapestry, Inc. and will be retained by Tapestry, Inc. and furnished to the Securities and Exchange Commission or its staff upon request.</w:t>
      </w:r>
    </w:p>
    <w:p>
      <w:pPr>
        <w:sectPr>
          <w:pgSz w:w="11900" w:h="16838" w:orient="portrait"/>
          <w:cols w:equalWidth="0" w:num="1">
            <w:col w:w="11240"/>
          </w:cols>
          <w:pgMar w:left="320" w:top="995" w:right="339" w:bottom="1440" w:gutter="0" w:footer="0" w:header="0"/>
        </w:sectPr>
      </w:pPr>
    </w:p>
    <w:bookmarkStart w:id="58" w:name="page59"/>
    <w:bookmarkEnd w:id="58"/>
    <w:p>
      <w:pPr>
        <w:ind w:left="101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Tapestry, Inc.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certifies, to such officer’s knowledge, that:</w:t>
      </w:r>
    </w:p>
    <w:p>
      <w:pPr>
        <w:spacing w:after="0" w:line="99" w:lineRule="exact"/>
        <w:rPr>
          <w:sz w:val="20"/>
          <w:szCs w:val="20"/>
          <w:color w:val="auto"/>
        </w:rPr>
      </w:pPr>
    </w:p>
    <w:p>
      <w:pPr>
        <w:ind w:firstLine="399"/>
        <w:spacing w:after="0" w:line="282" w:lineRule="auto"/>
        <w:tabs>
          <w:tab w:leader="none" w:pos="102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fiscal quarter ended December 27, 2025 (the “Report”) fully complies with the requirements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1060" w:hanging="655"/>
        <w:spacing w:after="0"/>
        <w:tabs>
          <w:tab w:leader="none" w:pos="10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5, 2026</w:t>
      </w:r>
    </w:p>
    <w:p>
      <w:pPr>
        <w:spacing w:after="0" w:line="158"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Scott A. 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34290</wp:posOffset>
            </wp:positionV>
            <wp:extent cx="28200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Name:</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A. Roe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&amp; Chief Operating Officer</w:t>
      </w:r>
    </w:p>
    <w:p>
      <w:pPr>
        <w:spacing w:after="0" w:line="222" w:lineRule="exact"/>
        <w:rPr>
          <w:sz w:val="20"/>
          <w:szCs w:val="20"/>
          <w:color w:val="auto"/>
        </w:rPr>
      </w:pPr>
    </w:p>
    <w:p>
      <w:pPr>
        <w:sectPr>
          <w:pgSz w:w="11900" w:h="16838" w:orient="portrait"/>
          <w:cols w:equalWidth="0" w:num="2">
            <w:col w:w="980" w:space="280"/>
            <w:col w:w="9980"/>
          </w:cols>
          <w:pgMar w:left="320" w:top="995" w:right="339" w:bottom="1440" w:gutter="0" w:footer="0" w:header="0"/>
          <w:type w:val="continuous"/>
        </w:sectPr>
      </w:pPr>
    </w:p>
    <w:p>
      <w:pPr>
        <w:spacing w:after="0" w:line="12"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Tapestry, Inc. and will be retained by Tapestry, Inc. and furnished to the Securities and Exchange Commission or its staff upon request.</w:t>
      </w:r>
    </w:p>
    <w:sectPr>
      <w:pgSz w:w="11900" w:h="16838" w:orient="portrait"/>
      <w:cols w:equalWidth="0" w:num="1">
        <w:col w:w="11240"/>
      </w:cols>
      <w:pgMar w:left="320" w:top="99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1."/>
      <w:numFmt w:val="decimal"/>
      <w:start w:val="2"/>
    </w:lvl>
  </w:abstractNum>
  <w:abstractNum w:abstractNumId="4">
    <w:nsid w:val="79838CB2"/>
    <w:multiLevelType w:val="hybridMultilevel"/>
    <w:lvl w:ilvl="0">
      <w:lvlJc w:val="left"/>
      <w:lvlText w:val="%1."/>
      <w:numFmt w:val="decimal"/>
      <w:start w:val="3"/>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6"/>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1)"/>
      <w:numFmt w:val="decimal"/>
      <w:start w:val="1"/>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lowerLetter"/>
      <w:start w:val="61"/>
    </w:lvl>
  </w:abstractNum>
  <w:abstractNum w:abstractNumId="15">
    <w:nsid w:val="1E7FF521"/>
    <w:multiLevelType w:val="hybridMultilevel"/>
    <w:lvl w:ilvl="0">
      <w:lvlJc w:val="left"/>
      <w:lvlText w:val="(%1)"/>
      <w:numFmt w:val="lowerLetter"/>
      <w:start w:val="1"/>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1)"/>
      <w:numFmt w:val="decimal"/>
      <w:start w:val="3"/>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lvl w:ilvl="1">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lvl w:ilvl="1">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lvl w:ilvl="1">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1)"/>
      <w:numFmt w:val="decimal"/>
      <w:start w:val="1"/>
    </w:lvl>
  </w:abstractNum>
  <w:abstractNum w:abstractNumId="34">
    <w:nsid w:val="2D517796"/>
    <w:multiLevelType w:val="hybridMultilevel"/>
    <w:lvl w:ilvl="0">
      <w:lvlJc w:val="left"/>
      <w:lvlText w:val="•"/>
      <w:numFmt w:val="bullet"/>
      <w:start w:val="1"/>
    </w:lvl>
    <w:lvl w:ilvl="1">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1)"/>
      <w:numFmt w:val="decimal"/>
      <w:start w:val="1"/>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
      <w:numFmt w:val="bullet"/>
      <w:start w:val="1"/>
    </w:lvl>
    <w:lvl w:ilvl="1">
      <w:lvlJc w:val="left"/>
      <w:lvlText w:val="%2"/>
      <w:numFmt w:val="decimal"/>
      <w:start w:val="104"/>
    </w:lvl>
  </w:abstractNum>
  <w:abstractNum w:abstractNumId="40">
    <w:nsid w:val="2A487CB0"/>
    <w:multiLevelType w:val="hybridMultilevel"/>
    <w:lvl w:ilvl="0">
      <w:lvlJc w:val="left"/>
      <w:lvlText w:val="**"/>
      <w:numFmt w:val="bullet"/>
      <w:start w:val="1"/>
    </w:lvl>
    <w:lvl w:ilvl="1">
      <w:lvlJc w:val="left"/>
      <w:lvlText w:val="%2"/>
      <w:numFmt w:val="decimal"/>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lowerRoman"/>
      <w:start w:val="1"/>
    </w:lvl>
  </w:abstractNum>
  <w:abstractNum w:abstractNumId="44">
    <w:nsid w:val="57E4CCA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2026-02-05T05:55:34Z</dcterms:created>
  <dcterms:modified xsi:type="dcterms:W3CDTF">2026-02-05T05:55:34Z</dcterms:modified>
</cp:coreProperties>
</file>