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209550</wp:posOffset>
            </wp:positionH>
            <wp:positionV relativeFrom="page">
              <wp:posOffset>649605</wp:posOffset>
            </wp:positionV>
            <wp:extent cx="712914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145" cy="7620"/>
                    </a:xfrm>
                    <a:prstGeom prst="rect">
                      <a:avLst/>
                    </a:prstGeom>
                    <a:noFill/>
                  </pic:spPr>
                </pic:pic>
              </a:graphicData>
            </a:graphic>
          </wp:anchor>
        </w:drawing>
        <w:drawing>
          <wp:anchor simplePos="0" relativeHeight="251657728" behindDoc="1" locked="0" layoutInCell="0" allowOverlap="1">
            <wp:simplePos x="0" y="0"/>
            <wp:positionH relativeFrom="page">
              <wp:posOffset>209550</wp:posOffset>
            </wp:positionH>
            <wp:positionV relativeFrom="page">
              <wp:posOffset>610870</wp:posOffset>
            </wp:positionV>
            <wp:extent cx="712914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145" cy="15875"/>
                    </a:xfrm>
                    <a:prstGeom prst="rect">
                      <a:avLst/>
                    </a:prstGeom>
                    <a:noFill/>
                  </pic:spPr>
                </pic:pic>
              </a:graphicData>
            </a:graphic>
          </wp:anchor>
        </w:drawing>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1962150</wp:posOffset>
            </wp:positionH>
            <wp:positionV relativeFrom="paragraph">
              <wp:posOffset>94615</wp:posOffset>
            </wp:positionV>
            <wp:extent cx="32258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5800" cy="762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1962150</wp:posOffset>
            </wp:positionH>
            <wp:positionV relativeFrom="paragraph">
              <wp:posOffset>71120</wp:posOffset>
            </wp:positionV>
            <wp:extent cx="32258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5800" cy="7620"/>
                    </a:xfrm>
                    <a:prstGeom prst="rect">
                      <a:avLst/>
                    </a:prstGeom>
                    <a:noFill/>
                  </pic:spPr>
                </pic:pic>
              </a:graphicData>
            </a:graphic>
          </wp:anchor>
        </w:drawing>
      </w:r>
    </w:p>
    <w:p>
      <w:pPr>
        <w:spacing w:after="0" w:line="244" w:lineRule="exact"/>
        <w:rPr>
          <w:sz w:val="24"/>
          <w:szCs w:val="24"/>
          <w:color w:val="auto"/>
        </w:rPr>
      </w:pPr>
    </w:p>
    <w:p>
      <w:pPr>
        <w:ind w:left="3820" w:right="1200" w:hanging="2650"/>
        <w:spacing w:after="0" w:line="322" w:lineRule="auto"/>
        <w:tabs>
          <w:tab w:leader="none" w:pos="172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28,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or</w:t>
      </w:r>
    </w:p>
    <w:p>
      <w:pPr>
        <w:spacing w:after="0" w:line="57" w:lineRule="exact"/>
        <w:rPr>
          <w:sz w:val="24"/>
          <w:szCs w:val="24"/>
          <w:color w:val="auto"/>
        </w:rPr>
      </w:pPr>
    </w:p>
    <w:p>
      <w:pPr>
        <w:ind w:left="4500" w:right="1200" w:hanging="3336"/>
        <w:spacing w:after="0" w:line="364" w:lineRule="auto"/>
        <w:tabs>
          <w:tab w:leader="none" w:pos="172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1962150</wp:posOffset>
            </wp:positionH>
            <wp:positionV relativeFrom="paragraph">
              <wp:posOffset>17145</wp:posOffset>
            </wp:positionV>
            <wp:extent cx="32258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5800" cy="762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Tapestry,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240"/>
          </w:cols>
          <w:pgMar w:left="320" w:top="1145" w:right="339" w:bottom="1440" w:gutter="0" w:footer="0" w:header="0"/>
        </w:sectPr>
      </w:pPr>
    </w:p>
    <w:p>
      <w:pPr>
        <w:spacing w:after="0" w:line="11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b w:val="1"/>
          <w:bCs w:val="1"/>
          <w:color w:val="auto"/>
        </w:rPr>
        <w:t>Maryland</w:t>
      </w:r>
    </w:p>
    <w:p>
      <w:pPr>
        <w:spacing w:after="0" w:line="26"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5"/>
          <w:szCs w:val="15"/>
          <w:b w:val="1"/>
          <w:bCs w:val="1"/>
          <w:color w:val="auto"/>
        </w:rPr>
        <w:t>52-2242751</w:t>
      </w:r>
    </w:p>
    <w:p>
      <w:pPr>
        <w:spacing w:after="0" w:line="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99" w:lineRule="exact"/>
        <w:rPr>
          <w:sz w:val="24"/>
          <w:szCs w:val="24"/>
          <w:color w:val="auto"/>
        </w:rPr>
      </w:pPr>
    </w:p>
    <w:p>
      <w:pPr>
        <w:sectPr>
          <w:pgSz w:w="11900" w:h="16838" w:orient="portrait"/>
          <w:cols w:equalWidth="0" w:num="2">
            <w:col w:w="6040" w:space="720"/>
            <w:col w:w="4480"/>
          </w:cols>
          <w:pgMar w:left="320" w:top="1145" w:right="33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16"/>
          <w:szCs w:val="16"/>
          <w:b w:val="1"/>
          <w:bCs w:val="1"/>
          <w:color w:val="auto"/>
        </w:rPr>
        <w:t>10 Hudson Yards, New York, NY 10001</w:t>
      </w:r>
    </w:p>
    <w:p>
      <w:pPr>
        <w:spacing w:after="0" w:line="3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946-8400</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1962150</wp:posOffset>
            </wp:positionH>
            <wp:positionV relativeFrom="paragraph">
              <wp:posOffset>100965</wp:posOffset>
            </wp:positionV>
            <wp:extent cx="32258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25800" cy="762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2" w:lineRule="exact"/>
        <w:rPr>
          <w:sz w:val="24"/>
          <w:szCs w:val="24"/>
          <w:color w:val="auto"/>
        </w:rPr>
      </w:pPr>
    </w:p>
    <w:tbl>
      <w:tblPr>
        <w:tblLayout w:type="fixed"/>
        <w:tblInd w:w="1600" w:type="dxa"/>
        <w:tblCellMar>
          <w:top w:w="0" w:type="dxa"/>
          <w:left w:w="0" w:type="dxa"/>
          <w:bottom w:w="0" w:type="dxa"/>
          <w:right w:w="0" w:type="dxa"/>
        </w:tblCellMar>
      </w:tblPr>
      <w:tr>
        <w:trPr>
          <w:trHeight w:val="149"/>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300" w:type="dxa"/>
            <w:vAlign w:val="bottom"/>
            <w:vMerge w:val="restart"/>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Trading Symbol</w:t>
            </w:r>
          </w:p>
        </w:tc>
        <w:tc>
          <w:tcPr>
            <w:tcW w:w="300" w:type="dxa"/>
            <w:vAlign w:val="bottom"/>
            <w:vMerge w:val="restart"/>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w:t>
            </w:r>
          </w:p>
        </w:tc>
        <w:tc>
          <w:tcPr>
            <w:tcW w:w="0" w:type="dxa"/>
            <w:vAlign w:val="bottom"/>
          </w:tcPr>
          <w:p>
            <w:pPr>
              <w:spacing w:after="0"/>
              <w:rPr>
                <w:sz w:val="1"/>
                <w:szCs w:val="1"/>
                <w:color w:val="auto"/>
              </w:rPr>
            </w:pPr>
          </w:p>
        </w:tc>
      </w:tr>
      <w:tr>
        <w:trPr>
          <w:trHeight w:val="178"/>
        </w:trPr>
        <w:tc>
          <w:tcPr>
            <w:tcW w:w="260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2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0" w:type="dxa"/>
            <w:vAlign w:val="bottom"/>
          </w:tcPr>
          <w:p>
            <w:pPr>
              <w:spacing w:after="0"/>
              <w:rPr>
                <w:sz w:val="1"/>
                <w:szCs w:val="1"/>
                <w:color w:val="auto"/>
              </w:rPr>
            </w:pPr>
          </w:p>
        </w:tc>
      </w:tr>
      <w:tr>
        <w:trPr>
          <w:trHeight w:val="189"/>
        </w:trPr>
        <w:tc>
          <w:tcPr>
            <w:tcW w:w="29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7"/>
              </w:rPr>
              <w:t>Common Stock, par value $.01 per share</w:t>
            </w:r>
          </w:p>
        </w:tc>
        <w:tc>
          <w:tcPr>
            <w:tcW w:w="27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color w:val="auto"/>
              </w:rPr>
              <w:t>TPR</w:t>
            </w: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New York Stock Exchange</w:t>
            </w:r>
          </w:p>
        </w:tc>
        <w:tc>
          <w:tcPr>
            <w:tcW w:w="0" w:type="dxa"/>
            <w:vAlign w:val="bottom"/>
          </w:tcPr>
          <w:p>
            <w:pPr>
              <w:spacing w:after="0"/>
              <w:rPr>
                <w:sz w:val="1"/>
                <w:szCs w:val="1"/>
                <w:color w:val="auto"/>
              </w:rPr>
            </w:pPr>
          </w:p>
        </w:tc>
      </w:tr>
    </w:tbl>
    <w:p>
      <w:pPr>
        <w:spacing w:after="0" w:line="180" w:lineRule="exact"/>
        <w:rPr>
          <w:sz w:val="24"/>
          <w:szCs w:val="24"/>
          <w:color w:val="auto"/>
        </w:rPr>
      </w:pPr>
    </w:p>
    <w:p>
      <w:pPr>
        <w:ind w:firstLine="147"/>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53" w:lineRule="exact"/>
        <w:rPr>
          <w:sz w:val="24"/>
          <w:szCs w:val="24"/>
          <w:color w:val="auto"/>
        </w:rPr>
      </w:pPr>
    </w:p>
    <w:p>
      <w:pPr>
        <w:ind w:firstLine="147"/>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5" w:lineRule="exact"/>
        <w:rPr>
          <w:sz w:val="24"/>
          <w:szCs w:val="24"/>
          <w:color w:val="auto"/>
        </w:rPr>
      </w:pPr>
    </w:p>
    <w:p>
      <w:pPr>
        <w:ind w:firstLine="147"/>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5" w:right="339" w:bottom="1440" w:gutter="0" w:footer="0" w:header="0"/>
          <w:type w:val="continuous"/>
        </w:sectPr>
      </w:pPr>
    </w:p>
    <w:p>
      <w:pPr>
        <w:spacing w:after="0" w:line="157" w:lineRule="exact"/>
        <w:rPr>
          <w:sz w:val="24"/>
          <w:szCs w:val="24"/>
          <w:color w:val="auto"/>
        </w:rPr>
      </w:pPr>
    </w:p>
    <w:p>
      <w:pPr>
        <w:ind w:left="20" w:right="140"/>
        <w:spacing w:after="0" w:line="337"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86" w:lineRule="exact"/>
        <w:rPr>
          <w:sz w:val="24"/>
          <w:szCs w:val="24"/>
          <w:color w:val="auto"/>
        </w:rPr>
      </w:pPr>
    </w:p>
    <w:p>
      <w:pPr>
        <w:sectPr>
          <w:pgSz w:w="11900" w:h="16838" w:orient="portrait"/>
          <w:cols w:equalWidth="0" w:num="8">
            <w:col w:w="1760" w:space="720"/>
            <w:col w:w="140" w:space="220"/>
            <w:col w:w="1760" w:space="720"/>
            <w:col w:w="140" w:space="220"/>
            <w:col w:w="1760" w:space="720"/>
            <w:col w:w="140" w:space="220"/>
            <w:col w:w="1760" w:space="720"/>
            <w:col w:w="240"/>
          </w:cols>
          <w:pgMar w:left="320" w:top="1145" w:right="339" w:bottom="1440" w:gutter="0" w:footer="0" w:header="0"/>
          <w:type w:val="continuous"/>
        </w:sectPr>
      </w:pPr>
    </w:p>
    <w:p>
      <w:pPr>
        <w:ind w:firstLine="147"/>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color w:val="auto"/>
        </w:rPr>
        <w:t>On January 24, 2025, the Registrant had 207,015,475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683260</wp:posOffset>
            </wp:positionV>
            <wp:extent cx="71704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119380</wp:posOffset>
            </wp:positionV>
            <wp:extent cx="71291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914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96520</wp:posOffset>
            </wp:positionV>
            <wp:extent cx="71291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9145" cy="762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color w:val="auto"/>
              </w:rPr>
              <w:t>Page Number</w:t>
            </w: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80" w:type="dxa"/>
            <w:vAlign w:val="bottom"/>
            <w:gridSpan w:val="7"/>
            <w:shd w:val="clear" w:color="auto" w:fill="CCEEFF"/>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PART I – FINANCIAL INFORMATION (unaudited)</w:t>
            </w:r>
          </w:p>
        </w:tc>
        <w:tc>
          <w:tcPr>
            <w:tcW w:w="6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82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gridSpan w:val="11"/>
          </w:tcPr>
          <w:p>
            <w:pPr>
              <w:spacing w:after="0" w:line="172"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740" w:type="dxa"/>
            <w:vAlign w:val="bottom"/>
            <w:gridSpan w:val="2"/>
          </w:tcPr>
          <w:p>
            <w:pPr>
              <w:jc w:val="center"/>
              <w:ind w:left="578"/>
              <w:spacing w:after="0" w:line="172" w:lineRule="exact"/>
              <w:rPr>
                <w:sz w:val="20"/>
                <w:szCs w:val="20"/>
                <w:color w:val="auto"/>
              </w:rPr>
            </w:pPr>
            <w:r>
              <w:rPr>
                <w:rFonts w:ascii="Times New Roman" w:cs="Times New Roman" w:eastAsia="Times New Roman" w:hAnsi="Times New Roman"/>
                <w:sz w:val="16"/>
                <w:szCs w:val="16"/>
                <w:color w:val="0000FF"/>
                <w:w w:val="99"/>
              </w:rPr>
              <w:t>1</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180" w:type="dxa"/>
            <w:vAlign w:val="bottom"/>
            <w:gridSpan w:val="11"/>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740" w:type="dxa"/>
            <w:vAlign w:val="bottom"/>
            <w:gridSpan w:val="2"/>
            <w:shd w:val="clear" w:color="auto" w:fill="CCEEFF"/>
          </w:tcPr>
          <w:p>
            <w:pPr>
              <w:jc w:val="center"/>
              <w:ind w:left="578"/>
              <w:spacing w:after="0" w:line="181" w:lineRule="exact"/>
              <w:rPr>
                <w:sz w:val="20"/>
                <w:szCs w:val="20"/>
                <w:color w:val="auto"/>
              </w:rPr>
            </w:pPr>
            <w:r>
              <w:rPr>
                <w:rFonts w:ascii="Times New Roman" w:cs="Times New Roman" w:eastAsia="Times New Roman" w:hAnsi="Times New Roman"/>
                <w:sz w:val="16"/>
                <w:szCs w:val="16"/>
                <w:color w:val="0000FF"/>
                <w:w w:val="99"/>
              </w:rPr>
              <w:t>2</w:t>
            </w:r>
          </w:p>
        </w:tc>
        <w:tc>
          <w:tcPr>
            <w:tcW w:w="640" w:type="dxa"/>
            <w:vAlign w:val="bottom"/>
            <w:tcBorders>
              <w:left w:val="single" w:sz="8" w:color="CCEEFF"/>
            </w:tcBorders>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r>
      <w:tr>
        <w:trPr>
          <w:trHeight w:val="17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gridSpan w:val="11"/>
          </w:tcPr>
          <w:p>
            <w:pPr>
              <w:spacing w:after="0" w:line="172" w:lineRule="exact"/>
              <w:rPr>
                <w:sz w:val="20"/>
                <w:szCs w:val="20"/>
                <w:color w:val="auto"/>
              </w:rPr>
            </w:pPr>
            <w:r>
              <w:rPr>
                <w:rFonts w:ascii="Times New Roman" w:cs="Times New Roman" w:eastAsia="Times New Roman" w:hAnsi="Times New Roman"/>
                <w:sz w:val="16"/>
                <w:szCs w:val="16"/>
                <w:color w:val="0000FF"/>
              </w:rPr>
              <w:t>Condensed Consolidated Statements of Comprehensive Income (Loss)</w:t>
            </w:r>
          </w:p>
        </w:tc>
        <w:tc>
          <w:tcPr>
            <w:tcW w:w="740" w:type="dxa"/>
            <w:vAlign w:val="bottom"/>
            <w:gridSpan w:val="2"/>
          </w:tcPr>
          <w:p>
            <w:pPr>
              <w:jc w:val="center"/>
              <w:ind w:left="578"/>
              <w:spacing w:after="0" w:line="172" w:lineRule="exact"/>
              <w:rPr>
                <w:sz w:val="20"/>
                <w:szCs w:val="20"/>
                <w:color w:val="auto"/>
              </w:rPr>
            </w:pPr>
            <w:r>
              <w:rPr>
                <w:rFonts w:ascii="Times New Roman" w:cs="Times New Roman" w:eastAsia="Times New Roman" w:hAnsi="Times New Roman"/>
                <w:sz w:val="16"/>
                <w:szCs w:val="16"/>
                <w:color w:val="0000FF"/>
                <w:w w:val="99"/>
              </w:rPr>
              <w:t>3</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72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80" w:type="dxa"/>
            <w:vAlign w:val="bottom"/>
            <w:tcBorders>
              <w:right w:val="single" w:sz="8" w:color="CCEEFF"/>
            </w:tcBorders>
            <w:gridSpan w:val="6"/>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1240" w:type="dxa"/>
            <w:vAlign w:val="bottom"/>
            <w:gridSpan w:val="3"/>
            <w:shd w:val="clear" w:color="auto" w:fill="CCEEFF"/>
          </w:tcPr>
          <w:p>
            <w:pPr>
              <w:spacing w:after="0"/>
              <w:rPr>
                <w:sz w:val="15"/>
                <w:szCs w:val="15"/>
                <w:color w:val="auto"/>
              </w:rPr>
            </w:pPr>
          </w:p>
        </w:tc>
        <w:tc>
          <w:tcPr>
            <w:tcW w:w="3560" w:type="dxa"/>
            <w:vAlign w:val="bottom"/>
            <w:gridSpan w:val="2"/>
            <w:shd w:val="clear" w:color="auto" w:fill="CCEEFF"/>
          </w:tcPr>
          <w:p>
            <w:pPr>
              <w:spacing w:after="0"/>
              <w:rPr>
                <w:sz w:val="15"/>
                <w:szCs w:val="15"/>
                <w:color w:val="auto"/>
              </w:rPr>
            </w:pPr>
          </w:p>
        </w:tc>
        <w:tc>
          <w:tcPr>
            <w:tcW w:w="740" w:type="dxa"/>
            <w:vAlign w:val="bottom"/>
            <w:gridSpan w:val="2"/>
            <w:shd w:val="clear" w:color="auto" w:fill="CCEEFF"/>
          </w:tcPr>
          <w:p>
            <w:pPr>
              <w:jc w:val="center"/>
              <w:ind w:left="578"/>
              <w:spacing w:after="0" w:line="181" w:lineRule="exact"/>
              <w:rPr>
                <w:sz w:val="20"/>
                <w:szCs w:val="20"/>
                <w:color w:val="auto"/>
              </w:rPr>
            </w:pPr>
            <w:r>
              <w:rPr>
                <w:rFonts w:ascii="Times New Roman" w:cs="Times New Roman" w:eastAsia="Times New Roman" w:hAnsi="Times New Roman"/>
                <w:sz w:val="16"/>
                <w:szCs w:val="16"/>
                <w:color w:val="0000FF"/>
                <w:w w:val="99"/>
              </w:rPr>
              <w:t>4</w:t>
            </w:r>
          </w:p>
        </w:tc>
        <w:tc>
          <w:tcPr>
            <w:tcW w:w="640" w:type="dxa"/>
            <w:vAlign w:val="bottom"/>
            <w:tcBorders>
              <w:left w:val="single" w:sz="8" w:color="CCEEFF"/>
            </w:tcBorders>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72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r>
      <w:tr>
        <w:trPr>
          <w:trHeight w:val="17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tcPr>
          <w:p>
            <w:pPr>
              <w:spacing w:after="0" w:line="172" w:lineRule="exact"/>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4540" w:type="dxa"/>
            <w:vAlign w:val="bottom"/>
            <w:gridSpan w:val="4"/>
          </w:tcPr>
          <w:p>
            <w:pPr>
              <w:spacing w:after="0"/>
              <w:rPr>
                <w:sz w:val="14"/>
                <w:szCs w:val="14"/>
                <w:color w:val="auto"/>
              </w:rPr>
            </w:pPr>
          </w:p>
        </w:tc>
        <w:tc>
          <w:tcPr>
            <w:tcW w:w="740" w:type="dxa"/>
            <w:vAlign w:val="bottom"/>
            <w:gridSpan w:val="2"/>
          </w:tcPr>
          <w:p>
            <w:pPr>
              <w:jc w:val="center"/>
              <w:ind w:left="578"/>
              <w:spacing w:after="0" w:line="172" w:lineRule="exact"/>
              <w:rPr>
                <w:sz w:val="20"/>
                <w:szCs w:val="20"/>
                <w:color w:val="auto"/>
              </w:rPr>
            </w:pPr>
            <w:r>
              <w:rPr>
                <w:rFonts w:ascii="Times New Roman" w:cs="Times New Roman" w:eastAsia="Times New Roman" w:hAnsi="Times New Roman"/>
                <w:sz w:val="16"/>
                <w:szCs w:val="16"/>
                <w:color w:val="0000FF"/>
                <w:w w:val="99"/>
              </w:rPr>
              <w:t>5</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72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r>
      <w:tr>
        <w:trPr>
          <w:trHeight w:val="180"/>
        </w:trPr>
        <w:tc>
          <w:tcPr>
            <w:tcW w:w="15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2.</w:t>
            </w:r>
          </w:p>
        </w:tc>
        <w:tc>
          <w:tcPr>
            <w:tcW w:w="8280" w:type="dxa"/>
            <w:vAlign w:val="bottom"/>
            <w:gridSpan w:val="1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40" w:type="dxa"/>
            <w:vAlign w:val="bottom"/>
            <w:gridSpan w:val="2"/>
            <w:shd w:val="clear" w:color="auto" w:fill="CCEEFF"/>
          </w:tcPr>
          <w:p>
            <w:pPr>
              <w:jc w:val="center"/>
              <w:ind w:left="498"/>
              <w:spacing w:after="0" w:line="181" w:lineRule="exact"/>
              <w:rPr>
                <w:sz w:val="20"/>
                <w:szCs w:val="20"/>
                <w:color w:val="auto"/>
              </w:rPr>
            </w:pPr>
            <w:r>
              <w:rPr>
                <w:rFonts w:ascii="Times New Roman" w:cs="Times New Roman" w:eastAsia="Times New Roman" w:hAnsi="Times New Roman"/>
                <w:sz w:val="16"/>
                <w:szCs w:val="16"/>
                <w:color w:val="0000FF"/>
                <w:w w:val="99"/>
              </w:rPr>
              <w:t>29</w:t>
            </w:r>
          </w:p>
        </w:tc>
        <w:tc>
          <w:tcPr>
            <w:tcW w:w="640" w:type="dxa"/>
            <w:vAlign w:val="bottom"/>
            <w:tcBorders>
              <w:left w:val="single" w:sz="8" w:color="CCEEFF"/>
            </w:tcBorders>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72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tcBorders>
              <w:left w:val="single" w:sz="8" w:color="0000FF"/>
            </w:tcBorders>
            <w:shd w:val="clear" w:color="auto" w:fill="CCEEFF"/>
          </w:tcPr>
          <w:p>
            <w:pPr>
              <w:spacing w:after="0"/>
              <w:rPr>
                <w:sz w:val="3"/>
                <w:szCs w:val="3"/>
                <w:color w:val="auto"/>
              </w:rPr>
            </w:pPr>
          </w:p>
        </w:tc>
      </w:tr>
      <w:tr>
        <w:trPr>
          <w:trHeight w:val="172"/>
        </w:trPr>
        <w:tc>
          <w:tcPr>
            <w:tcW w:w="15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6"/>
                <w:szCs w:val="16"/>
                <w:color w:val="auto"/>
              </w:rPr>
              <w:t>ITEM 3.</w:t>
            </w:r>
          </w:p>
        </w:tc>
        <w:tc>
          <w:tcPr>
            <w:tcW w:w="5860" w:type="dxa"/>
            <w:vAlign w:val="bottom"/>
            <w:gridSpan w:val="11"/>
          </w:tcPr>
          <w:p>
            <w:pPr>
              <w:spacing w:after="0" w:line="172"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420" w:type="dxa"/>
            <w:vAlign w:val="bottom"/>
          </w:tcPr>
          <w:p>
            <w:pPr>
              <w:spacing w:after="0"/>
              <w:rPr>
                <w:sz w:val="14"/>
                <w:szCs w:val="14"/>
                <w:color w:val="auto"/>
              </w:rPr>
            </w:pPr>
          </w:p>
        </w:tc>
        <w:tc>
          <w:tcPr>
            <w:tcW w:w="740" w:type="dxa"/>
            <w:vAlign w:val="bottom"/>
            <w:gridSpan w:val="2"/>
          </w:tcPr>
          <w:p>
            <w:pPr>
              <w:jc w:val="center"/>
              <w:ind w:left="498"/>
              <w:spacing w:after="0" w:line="172" w:lineRule="exact"/>
              <w:rPr>
                <w:sz w:val="20"/>
                <w:szCs w:val="20"/>
                <w:color w:val="auto"/>
              </w:rPr>
            </w:pPr>
            <w:r>
              <w:rPr>
                <w:rFonts w:ascii="Times New Roman" w:cs="Times New Roman" w:eastAsia="Times New Roman" w:hAnsi="Times New Roman"/>
                <w:sz w:val="16"/>
                <w:szCs w:val="16"/>
                <w:color w:val="0000FF"/>
                <w:w w:val="99"/>
              </w:rPr>
              <w:t>49</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72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Borders>
              <w:left w:val="single" w:sz="8" w:color="0000FF"/>
            </w:tcBorders>
          </w:tcPr>
          <w:p>
            <w:pPr>
              <w:spacing w:after="0"/>
              <w:rPr>
                <w:sz w:val="2"/>
                <w:szCs w:val="2"/>
                <w:color w:val="auto"/>
              </w:rPr>
            </w:pPr>
          </w:p>
        </w:tc>
      </w:tr>
      <w:tr>
        <w:trPr>
          <w:trHeight w:val="197"/>
        </w:trPr>
        <w:tc>
          <w:tcPr>
            <w:tcW w:w="15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4.</w:t>
            </w:r>
          </w:p>
        </w:tc>
        <w:tc>
          <w:tcPr>
            <w:tcW w:w="3900" w:type="dxa"/>
            <w:vAlign w:val="bottom"/>
            <w:gridSpan w:val="9"/>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Controls and Procedures</w:t>
            </w:r>
          </w:p>
        </w:tc>
        <w:tc>
          <w:tcPr>
            <w:tcW w:w="4380" w:type="dxa"/>
            <w:vAlign w:val="bottom"/>
            <w:tcBorders>
              <w:left w:val="single" w:sz="8" w:color="CCEEFF"/>
            </w:tcBorders>
            <w:gridSpan w:val="3"/>
            <w:shd w:val="clear" w:color="auto" w:fill="CCEEFF"/>
          </w:tcPr>
          <w:p>
            <w:pPr>
              <w:spacing w:after="0"/>
              <w:rPr>
                <w:sz w:val="17"/>
                <w:szCs w:val="17"/>
                <w:color w:val="auto"/>
              </w:rPr>
            </w:pPr>
          </w:p>
        </w:tc>
        <w:tc>
          <w:tcPr>
            <w:tcW w:w="740" w:type="dxa"/>
            <w:vAlign w:val="bottom"/>
            <w:gridSpan w:val="2"/>
            <w:shd w:val="clear" w:color="auto" w:fill="CCEEFF"/>
          </w:tcPr>
          <w:p>
            <w:pPr>
              <w:jc w:val="center"/>
              <w:ind w:left="498"/>
              <w:spacing w:after="0" w:line="181" w:lineRule="exact"/>
              <w:rPr>
                <w:sz w:val="20"/>
                <w:szCs w:val="20"/>
                <w:color w:val="auto"/>
              </w:rPr>
            </w:pPr>
            <w:r>
              <w:rPr>
                <w:rFonts w:ascii="Times New Roman" w:cs="Times New Roman" w:eastAsia="Times New Roman" w:hAnsi="Times New Roman"/>
                <w:sz w:val="16"/>
                <w:szCs w:val="16"/>
                <w:color w:val="0000FF"/>
                <w:w w:val="99"/>
              </w:rPr>
              <w:t>49</w:t>
            </w:r>
          </w:p>
        </w:tc>
        <w:tc>
          <w:tcPr>
            <w:tcW w:w="640" w:type="dxa"/>
            <w:vAlign w:val="bottom"/>
            <w:tcBorders>
              <w:left w:val="single" w:sz="8" w:color="CCEEFF"/>
            </w:tcBorders>
            <w:shd w:val="clear" w:color="auto" w:fill="CCEEFF"/>
          </w:tcPr>
          <w:p>
            <w:pPr>
              <w:spacing w:after="0"/>
              <w:rPr>
                <w:sz w:val="17"/>
                <w:szCs w:val="17"/>
                <w:color w:val="auto"/>
              </w:rPr>
            </w:pPr>
          </w:p>
        </w:tc>
      </w:tr>
      <w:tr>
        <w:trPr>
          <w:trHeight w:val="209"/>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680" w:type="dxa"/>
            <w:vAlign w:val="bottom"/>
            <w:tcBorders>
              <w:top w:val="single" w:sz="8" w:color="CCEEFF"/>
            </w:tcBorders>
            <w:gridSpan w:val="7"/>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2"/>
        </w:trPr>
        <w:tc>
          <w:tcPr>
            <w:tcW w:w="1580" w:type="dxa"/>
            <w:vAlign w:val="bottom"/>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ITEM 1.</w:t>
            </w:r>
          </w:p>
        </w:tc>
        <w:tc>
          <w:tcPr>
            <w:tcW w:w="828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FF"/>
              </w:rPr>
              <w:t>Legal Proceedings</w:t>
            </w:r>
          </w:p>
        </w:tc>
        <w:tc>
          <w:tcPr>
            <w:tcW w:w="740" w:type="dxa"/>
            <w:vAlign w:val="bottom"/>
            <w:gridSpan w:val="2"/>
            <w:shd w:val="clear" w:color="auto" w:fill="CCEEFF"/>
          </w:tcPr>
          <w:p>
            <w:pPr>
              <w:jc w:val="center"/>
              <w:ind w:left="498"/>
              <w:spacing w:after="0" w:line="172" w:lineRule="exact"/>
              <w:rPr>
                <w:sz w:val="20"/>
                <w:szCs w:val="20"/>
                <w:color w:val="auto"/>
              </w:rPr>
            </w:pPr>
            <w:r>
              <w:rPr>
                <w:rFonts w:ascii="Times New Roman" w:cs="Times New Roman" w:eastAsia="Times New Roman" w:hAnsi="Times New Roman"/>
                <w:sz w:val="16"/>
                <w:szCs w:val="16"/>
                <w:color w:val="0000FF"/>
                <w:w w:val="99"/>
              </w:rPr>
              <w:t>50</w:t>
            </w:r>
          </w:p>
        </w:tc>
        <w:tc>
          <w:tcPr>
            <w:tcW w:w="640" w:type="dxa"/>
            <w:vAlign w:val="bottom"/>
            <w:tcBorders>
              <w:left w:val="single" w:sz="8" w:color="CCEEFF"/>
            </w:tcBorders>
            <w:shd w:val="clear" w:color="auto" w:fill="CCEEFF"/>
          </w:tcPr>
          <w:p>
            <w:pPr>
              <w:spacing w:after="0"/>
              <w:rPr>
                <w:sz w:val="14"/>
                <w:szCs w:val="14"/>
                <w:color w:val="auto"/>
              </w:rPr>
            </w:pPr>
          </w:p>
        </w:tc>
      </w:tr>
      <w:tr>
        <w:trPr>
          <w:trHeight w:val="37"/>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tcBorders>
              <w:left w:val="single" w:sz="8" w:color="0000FF"/>
            </w:tcBorders>
            <w:shd w:val="clear" w:color="auto" w:fill="CCEEFF"/>
          </w:tcPr>
          <w:p>
            <w:pPr>
              <w:spacing w:after="0"/>
              <w:rPr>
                <w:sz w:val="3"/>
                <w:szCs w:val="3"/>
                <w:color w:val="auto"/>
              </w:rPr>
            </w:pPr>
          </w:p>
        </w:tc>
      </w:tr>
      <w:tr>
        <w:trPr>
          <w:trHeight w:val="172"/>
        </w:trPr>
        <w:tc>
          <w:tcPr>
            <w:tcW w:w="15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6"/>
                <w:szCs w:val="16"/>
                <w:color w:val="auto"/>
              </w:rPr>
              <w:t>ITEM 1A.</w:t>
            </w:r>
          </w:p>
        </w:tc>
        <w:tc>
          <w:tcPr>
            <w:tcW w:w="82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0000FF"/>
                <w:w w:val="99"/>
              </w:rPr>
              <w:t>Risk Factors</w:t>
            </w:r>
          </w:p>
        </w:tc>
        <w:tc>
          <w:tcPr>
            <w:tcW w:w="380" w:type="dxa"/>
            <w:vAlign w:val="bottom"/>
          </w:tcPr>
          <w:p>
            <w:pPr>
              <w:spacing w:after="0"/>
              <w:rPr>
                <w:sz w:val="14"/>
                <w:szCs w:val="14"/>
                <w:color w:val="auto"/>
              </w:rPr>
            </w:pPr>
          </w:p>
        </w:tc>
        <w:tc>
          <w:tcPr>
            <w:tcW w:w="7080" w:type="dxa"/>
            <w:vAlign w:val="bottom"/>
            <w:gridSpan w:val="8"/>
          </w:tcPr>
          <w:p>
            <w:pPr>
              <w:spacing w:after="0"/>
              <w:rPr>
                <w:sz w:val="14"/>
                <w:szCs w:val="14"/>
                <w:color w:val="auto"/>
              </w:rPr>
            </w:pPr>
          </w:p>
        </w:tc>
        <w:tc>
          <w:tcPr>
            <w:tcW w:w="740" w:type="dxa"/>
            <w:vAlign w:val="bottom"/>
            <w:gridSpan w:val="2"/>
          </w:tcPr>
          <w:p>
            <w:pPr>
              <w:jc w:val="center"/>
              <w:ind w:left="498"/>
              <w:spacing w:after="0" w:line="172" w:lineRule="exact"/>
              <w:rPr>
                <w:sz w:val="20"/>
                <w:szCs w:val="20"/>
                <w:color w:val="auto"/>
              </w:rPr>
            </w:pPr>
            <w:r>
              <w:rPr>
                <w:rFonts w:ascii="Times New Roman" w:cs="Times New Roman" w:eastAsia="Times New Roman" w:hAnsi="Times New Roman"/>
                <w:sz w:val="16"/>
                <w:szCs w:val="16"/>
                <w:color w:val="0000FF"/>
                <w:w w:val="99"/>
              </w:rPr>
              <w:t>50</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Borders>
              <w:left w:val="single" w:sz="8" w:color="0000FF"/>
            </w:tcBorders>
          </w:tcPr>
          <w:p>
            <w:pPr>
              <w:spacing w:after="0"/>
              <w:rPr>
                <w:sz w:val="2"/>
                <w:szCs w:val="2"/>
                <w:color w:val="auto"/>
              </w:rPr>
            </w:pPr>
          </w:p>
        </w:tc>
      </w:tr>
      <w:tr>
        <w:trPr>
          <w:trHeight w:val="180"/>
        </w:trPr>
        <w:tc>
          <w:tcPr>
            <w:tcW w:w="15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2.</w:t>
            </w:r>
          </w:p>
        </w:tc>
        <w:tc>
          <w:tcPr>
            <w:tcW w:w="8280" w:type="dxa"/>
            <w:vAlign w:val="bottom"/>
            <w:gridSpan w:val="1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740" w:type="dxa"/>
            <w:vAlign w:val="bottom"/>
            <w:gridSpan w:val="2"/>
            <w:shd w:val="clear" w:color="auto" w:fill="CCEEFF"/>
          </w:tcPr>
          <w:p>
            <w:pPr>
              <w:jc w:val="center"/>
              <w:ind w:left="498"/>
              <w:spacing w:after="0" w:line="181" w:lineRule="exact"/>
              <w:rPr>
                <w:sz w:val="20"/>
                <w:szCs w:val="20"/>
                <w:color w:val="auto"/>
              </w:rPr>
            </w:pPr>
            <w:r>
              <w:rPr>
                <w:rFonts w:ascii="Times New Roman" w:cs="Times New Roman" w:eastAsia="Times New Roman" w:hAnsi="Times New Roman"/>
                <w:sz w:val="16"/>
                <w:szCs w:val="16"/>
                <w:color w:val="0000FF"/>
                <w:w w:val="99"/>
              </w:rPr>
              <w:t>51</w:t>
            </w:r>
          </w:p>
        </w:tc>
        <w:tc>
          <w:tcPr>
            <w:tcW w:w="640" w:type="dxa"/>
            <w:vAlign w:val="bottom"/>
            <w:tcBorders>
              <w:left w:val="single" w:sz="8" w:color="CCEEFF"/>
            </w:tcBorders>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72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tcBorders>
              <w:left w:val="single" w:sz="8" w:color="0000FF"/>
            </w:tcBorders>
            <w:shd w:val="clear" w:color="auto" w:fill="CCEEFF"/>
          </w:tcPr>
          <w:p>
            <w:pPr>
              <w:spacing w:after="0"/>
              <w:rPr>
                <w:sz w:val="3"/>
                <w:szCs w:val="3"/>
                <w:color w:val="auto"/>
              </w:rPr>
            </w:pPr>
          </w:p>
        </w:tc>
      </w:tr>
      <w:tr>
        <w:trPr>
          <w:trHeight w:val="172"/>
        </w:trPr>
        <w:tc>
          <w:tcPr>
            <w:tcW w:w="15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6"/>
                <w:szCs w:val="16"/>
                <w:color w:val="auto"/>
              </w:rPr>
              <w:t>ITEM 6.</w:t>
            </w:r>
          </w:p>
        </w:tc>
        <w:tc>
          <w:tcPr>
            <w:tcW w:w="5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0000FF"/>
                <w:w w:val="97"/>
              </w:rPr>
              <w:t>Exhibits</w:t>
            </w:r>
          </w:p>
        </w:tc>
        <w:tc>
          <w:tcPr>
            <w:tcW w:w="3360" w:type="dxa"/>
            <w:vAlign w:val="bottom"/>
            <w:gridSpan w:val="7"/>
          </w:tcPr>
          <w:p>
            <w:pPr>
              <w:spacing w:after="0"/>
              <w:rPr>
                <w:sz w:val="14"/>
                <w:szCs w:val="14"/>
                <w:color w:val="auto"/>
              </w:rPr>
            </w:pPr>
          </w:p>
        </w:tc>
        <w:tc>
          <w:tcPr>
            <w:tcW w:w="4380" w:type="dxa"/>
            <w:vAlign w:val="bottom"/>
            <w:gridSpan w:val="3"/>
          </w:tcPr>
          <w:p>
            <w:pPr>
              <w:spacing w:after="0"/>
              <w:rPr>
                <w:sz w:val="14"/>
                <w:szCs w:val="14"/>
                <w:color w:val="auto"/>
              </w:rPr>
            </w:pPr>
          </w:p>
        </w:tc>
        <w:tc>
          <w:tcPr>
            <w:tcW w:w="740" w:type="dxa"/>
            <w:vAlign w:val="bottom"/>
            <w:gridSpan w:val="2"/>
          </w:tcPr>
          <w:p>
            <w:pPr>
              <w:jc w:val="center"/>
              <w:ind w:left="498"/>
              <w:spacing w:after="0" w:line="172" w:lineRule="exact"/>
              <w:rPr>
                <w:sz w:val="20"/>
                <w:szCs w:val="20"/>
                <w:color w:val="auto"/>
              </w:rPr>
            </w:pPr>
            <w:r>
              <w:rPr>
                <w:rFonts w:ascii="Times New Roman" w:cs="Times New Roman" w:eastAsia="Times New Roman" w:hAnsi="Times New Roman"/>
                <w:sz w:val="16"/>
                <w:szCs w:val="16"/>
                <w:color w:val="0000FF"/>
                <w:w w:val="99"/>
              </w:rPr>
              <w:t>52</w:t>
            </w: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Borders>
              <w:left w:val="single" w:sz="8" w:color="0000FF"/>
            </w:tcBorders>
          </w:tcPr>
          <w:p>
            <w:pPr>
              <w:spacing w:after="0"/>
              <w:rPr>
                <w:sz w:val="2"/>
                <w:szCs w:val="2"/>
                <w:color w:val="auto"/>
              </w:rPr>
            </w:pPr>
          </w:p>
        </w:tc>
      </w:tr>
      <w:tr>
        <w:trPr>
          <w:trHeight w:val="197"/>
        </w:trPr>
        <w:tc>
          <w:tcPr>
            <w:tcW w:w="15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SIGNATURES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left="498"/>
              <w:spacing w:after="0" w:line="181" w:lineRule="exact"/>
              <w:rPr>
                <w:sz w:val="20"/>
                <w:szCs w:val="20"/>
                <w:color w:val="auto"/>
              </w:rPr>
            </w:pPr>
            <w:r>
              <w:rPr>
                <w:rFonts w:ascii="Times New Roman" w:cs="Times New Roman" w:eastAsia="Times New Roman" w:hAnsi="Times New Roman"/>
                <w:sz w:val="16"/>
                <w:szCs w:val="16"/>
                <w:color w:val="0000FF"/>
                <w:w w:val="99"/>
              </w:rPr>
              <w:t>53</w:t>
            </w:r>
          </w:p>
        </w:tc>
        <w:tc>
          <w:tcPr>
            <w:tcW w:w="640" w:type="dxa"/>
            <w:vAlign w:val="bottom"/>
            <w:tcBorders>
              <w:left w:val="single" w:sz="8" w:color="CCEEFF"/>
            </w:tcBorders>
            <w:shd w:val="clear" w:color="auto" w:fill="CCEEFF"/>
          </w:tcPr>
          <w:p>
            <w:pPr>
              <w:spacing w:after="0"/>
              <w:rPr>
                <w:sz w:val="17"/>
                <w:szCs w:val="17"/>
                <w:color w:val="auto"/>
              </w:rPr>
            </w:pPr>
          </w:p>
        </w:tc>
      </w:tr>
      <w:tr>
        <w:trPr>
          <w:trHeight w:val="876"/>
        </w:trPr>
        <w:tc>
          <w:tcPr>
            <w:tcW w:w="2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16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24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2" w:name="page3"/>
    <w:bookmarkEnd w:id="2"/>
    <w:p>
      <w:pPr>
        <w:jc w:val="both"/>
        <w:ind w:right="20"/>
        <w:spacing w:after="0" w:line="297" w:lineRule="auto"/>
        <w:rPr>
          <w:sz w:val="20"/>
          <w:szCs w:val="20"/>
          <w:color w:val="auto"/>
        </w:rPr>
      </w:pPr>
      <w:r>
        <w:rPr>
          <w:rFonts w:ascii="Times New Roman" w:cs="Times New Roman" w:eastAsia="Times New Roman" w:hAnsi="Times New Roman"/>
          <w:sz w:val="16"/>
          <w:szCs w:val="16"/>
          <w:i w:val="1"/>
          <w:iCs w:val="1"/>
          <w:color w:val="auto"/>
        </w:rPr>
        <w:t>In this Form 10-Q, references to “we,” “our,” “us,” "Tapestry" and the “Company” refer to Tapestry, Inc., including consolidated subsidiaries. References to "Coach," "Kate Spade," "kate spade new york" or "Stuart Weitzman" refer only to the referenced brand.</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SPECIAL NOTE ON FORWARD-LOOKING INFORMATION</w:t>
      </w:r>
    </w:p>
    <w:p>
      <w:pPr>
        <w:spacing w:after="0" w:line="114" w:lineRule="exact"/>
        <w:rPr>
          <w:sz w:val="20"/>
          <w:szCs w:val="20"/>
          <w:color w:val="auto"/>
        </w:rPr>
      </w:pPr>
    </w:p>
    <w:p>
      <w:pPr>
        <w:jc w:val="both"/>
        <w:ind w:right="20" w:firstLine="294"/>
        <w:spacing w:after="0" w:line="259" w:lineRule="auto"/>
        <w:rPr>
          <w:sz w:val="20"/>
          <w:szCs w:val="20"/>
          <w:color w:val="auto"/>
        </w:rPr>
      </w:pPr>
      <w:r>
        <w:rPr>
          <w:rFonts w:ascii="Times New Roman" w:cs="Times New Roman" w:eastAsia="Times New Roman" w:hAnsi="Times New Roman"/>
          <w:sz w:val="16"/>
          <w:szCs w:val="16"/>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"forecast," "outlook," "commit," "innovation," "drive," "proposed acquisition," "we can stretch what’s possible,"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71"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economic conditions, recession and inflationary measures; (ii) our exposure to international risks, including currency fluctuations and changes in economic or political conditions in the markets where we sell or source our products; (iii) our ability to retain the value of our brands and to respond to changing fashion and retail trends in a timely manner, including our ability to execute on our e-commerce and digital strategies; (iv) the impact of tax and other legislation; (v) the risks associated with potential changes to international trade agreements and the imposition of additional duties on importing our products; (vi) our ability to successfully implement the initiatives under our 2025 growth strategy; (vii) the effect of existing and new competition in the marketplace; (viii) our ability to achieve intended benefits, cost savings and synergies from acquisitions; (ix) our ability to control costs; (x) the effect of seasonal and quarterly fluctuations on our sales or operating results; (xi) the risk of cyber security threats and privacy or data security breaches; (xii) our ability to satisfy our outstanding debt obligations or incur additional indebtedness; (xiii) the risks associated with climate change and other corporate responsibility issues; (xiv) our ability to protect against infringement of our trademarks and other proprietary rights; and (xv) the impact of pending and potential future legal proceedings and (xvi) such other risk factors as set forth in Part II, Item 1A. "Risk Factors" and elsewhere in this report and in the Company’s Annual Report on Form 10-K for the fiscal year ended June 29, 2024. These factors are not necessarily all of the factors that could cause actual results to differ materially from those expressed in any of our forward-looking statements.</w:t>
      </w:r>
    </w:p>
    <w:p>
      <w:pPr>
        <w:spacing w:after="0" w:line="6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Tapestry's quarterly financial results and other important information are available by calling the Investor Relations Department at (212) 946-7252.</w:t>
      </w:r>
    </w:p>
    <w:p>
      <w:pPr>
        <w:spacing w:after="0" w:line="110"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 xml:space="preserve">Tapestry maintains its website at </w:t>
      </w:r>
      <w:r>
        <w:rPr>
          <w:rFonts w:ascii="Times New Roman" w:cs="Times New Roman" w:eastAsia="Times New Roman" w:hAnsi="Times New Roman"/>
          <w:sz w:val="16"/>
          <w:szCs w:val="16"/>
          <w:u w:val="single" w:color="auto"/>
          <w:color w:val="auto"/>
        </w:rPr>
        <w:t>www.tapestry.com</w:t>
      </w:r>
      <w:r>
        <w:rPr>
          <w:rFonts w:ascii="Times New Roman" w:cs="Times New Roman" w:eastAsia="Times New Roman" w:hAnsi="Times New Roman"/>
          <w:sz w:val="16"/>
          <w:szCs w:val="16"/>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467360</wp:posOffset>
            </wp:positionV>
            <wp:extent cx="71704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340" w:type="dxa"/>
            <w:vAlign w:val="bottom"/>
          </w:tcPr>
          <w:p>
            <w:pPr>
              <w:spacing w:after="0"/>
              <w:rPr>
                <w:sz w:val="16"/>
                <w:szCs w:val="16"/>
                <w:color w:val="auto"/>
              </w:rPr>
            </w:pPr>
          </w:p>
        </w:tc>
        <w:tc>
          <w:tcPr>
            <w:tcW w:w="11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June 29,</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6,142.0</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Trade accounts receivable, less allowances for credit losses of $6.4 and $6.9, respectively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0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$1,248.2 and $1,263.3, respectively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3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513.8</w:t>
            </w:r>
          </w:p>
        </w:tc>
        <w:tc>
          <w:tcPr>
            <w:tcW w:w="100" w:type="dxa"/>
            <w:vAlign w:val="bottom"/>
          </w:tcPr>
          <w:p>
            <w:pPr>
              <w:spacing w:after="0"/>
              <w:rPr>
                <w:sz w:val="18"/>
                <w:szCs w:val="18"/>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debt</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0" w:type="dxa"/>
            <w:vAlign w:val="bottom"/>
          </w:tcPr>
          <w:p>
            <w:pPr>
              <w:spacing w:after="0"/>
              <w:rPr>
                <w:sz w:val="1"/>
                <w:szCs w:val="1"/>
                <w:color w:val="auto"/>
              </w:rPr>
            </w:pPr>
          </w:p>
        </w:tc>
      </w:tr>
      <w:tr>
        <w:trPr>
          <w:trHeight w:val="20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6,937.2</w:t>
            </w:r>
          </w:p>
        </w:tc>
        <w:tc>
          <w:tcPr>
            <w:tcW w:w="0" w:type="dxa"/>
            <w:vAlign w:val="bottom"/>
          </w:tcPr>
          <w:p>
            <w:pPr>
              <w:spacing w:after="0"/>
              <w:rPr>
                <w:sz w:val="1"/>
                <w:szCs w:val="1"/>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10,499.4</w:t>
            </w: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Note 15 on commitments and contingencies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(authorized 25.0 million shares; $0.01 par value per share) none issued</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18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6"/>
                <w:szCs w:val="16"/>
                <w:color w:val="auto"/>
              </w:rPr>
              <w:t>Common stock: (authorized 1.00 billion shares; $0.01 par value per share) issued and outstanding - 206.9 million and</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230.2 million shares, respectively</w:t>
            </w: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9"/>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2,896.9</w:t>
            </w:r>
          </w:p>
        </w:tc>
        <w:tc>
          <w:tcPr>
            <w:tcW w:w="0" w:type="dxa"/>
            <w:vAlign w:val="bottom"/>
          </w:tcPr>
          <w:p>
            <w:pPr>
              <w:spacing w:after="0"/>
              <w:rPr>
                <w:sz w:val="1"/>
                <w:szCs w:val="1"/>
                <w:color w:val="auto"/>
              </w:rPr>
            </w:pPr>
          </w:p>
        </w:tc>
      </w:tr>
      <w:tr>
        <w:trPr>
          <w:trHeight w:val="20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7,251.9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13,396.3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67945</wp:posOffset>
            </wp:positionV>
            <wp:extent cx="71704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20"/>
          </w:cols>
          <w:pgMar w:left="340" w:top="103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tcBorders>
              <w:right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58"/>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78"/>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0" w:type="dxa"/>
            <w:vAlign w:val="bottom"/>
          </w:tcPr>
          <w:p>
            <w:pPr>
              <w:spacing w:after="0"/>
              <w:rPr>
                <w:sz w:val="1"/>
                <w:szCs w:val="1"/>
                <w:color w:val="auto"/>
              </w:rPr>
            </w:pPr>
          </w:p>
        </w:tc>
      </w:tr>
      <w:tr>
        <w:trPr>
          <w:trHeight w:val="219"/>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4"/>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9"/>
              </w:rPr>
              <w:t>(millions, except per share data)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4"/>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(millions, except per share data)</w:t>
            </w:r>
          </w:p>
        </w:tc>
        <w:tc>
          <w:tcPr>
            <w:tcW w:w="0" w:type="dxa"/>
            <w:vAlign w:val="bottom"/>
          </w:tcPr>
          <w:p>
            <w:pPr>
              <w:spacing w:after="0"/>
              <w:rPr>
                <w:sz w:val="1"/>
                <w:szCs w:val="1"/>
                <w:color w:val="auto"/>
              </w:rPr>
            </w:pPr>
          </w:p>
        </w:tc>
      </w:tr>
      <w:tr>
        <w:trPr>
          <w:trHeight w:val="174"/>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center"/>
              <w:ind w:left="90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4"/>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2,590.9</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01"/>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r>
        <w:trPr>
          <w:trHeight w:val="226"/>
        </w:trPr>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b w:val="1"/>
                <w:bCs w:val="1"/>
                <w:color w:val="auto"/>
              </w:rPr>
              <w:t>Diluted</w:t>
            </w:r>
          </w:p>
        </w:tc>
        <w:tc>
          <w:tcPr>
            <w:tcW w:w="180" w:type="dxa"/>
            <w:vAlign w:val="bottom"/>
            <w:tcBorders>
              <w:bottom w:val="single" w:sz="8" w:color="auto"/>
            </w:tcBorders>
          </w:tcPr>
          <w:p>
            <w:pPr>
              <w:jc w:val="right"/>
              <w:ind w:right="18"/>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(loss) per share: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5" w:name="page6"/>
    <w:bookmarkEnd w:id="5"/>
    <w:p>
      <w:pPr>
        <w:ind w:left="5280"/>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w:t>
      </w:r>
    </w:p>
    <w:p>
      <w:pPr>
        <w:spacing w:after="0" w:line="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right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4"/>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2"/>
        </w:trPr>
        <w:tc>
          <w:tcPr>
            <w:tcW w:w="4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78"/>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258"/>
              <w:spacing w:after="0" w:line="152" w:lineRule="exact"/>
              <w:rPr>
                <w:sz w:val="20"/>
                <w:szCs w:val="20"/>
                <w:color w:val="auto"/>
              </w:rPr>
            </w:pPr>
            <w:r>
              <w:rPr>
                <w:rFonts w:ascii="Times New Roman" w:cs="Times New Roman" w:eastAsia="Times New Roman" w:hAnsi="Times New Roman"/>
                <w:sz w:val="16"/>
                <w:szCs w:val="16"/>
                <w:color w:val="auto"/>
              </w:rPr>
              <w:t>December 30,</w:t>
            </w:r>
          </w:p>
        </w:tc>
      </w:tr>
      <w:tr>
        <w:trPr>
          <w:trHeight w:val="219"/>
        </w:trPr>
        <w:tc>
          <w:tcPr>
            <w:tcW w:w="4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color w:val="auto"/>
              </w:rPr>
              <w:t>2023</w:t>
            </w:r>
          </w:p>
        </w:tc>
      </w:tr>
      <w:tr>
        <w:trPr>
          <w:trHeight w:val="166"/>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center"/>
              <w:ind w:left="961"/>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jc w:val="center"/>
              <w:ind w:left="1021"/>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300" w:type="dxa"/>
            <w:vAlign w:val="bottom"/>
          </w:tcPr>
          <w:p>
            <w:pPr>
              <w:spacing w:after="0"/>
              <w:rPr>
                <w:sz w:val="14"/>
                <w:szCs w:val="14"/>
                <w:color w:val="auto"/>
              </w:rPr>
            </w:pPr>
          </w:p>
        </w:tc>
      </w:tr>
      <w:tr>
        <w:trPr>
          <w:trHeight w:val="174"/>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Borders>
              <w:right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3"/>
          </w:tcPr>
          <w:p>
            <w:pPr>
              <w:jc w:val="center"/>
              <w:ind w:left="102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300" w:type="dxa"/>
            <w:vAlign w:val="bottom"/>
          </w:tcPr>
          <w:p>
            <w:pPr>
              <w:spacing w:after="0"/>
              <w:rPr>
                <w:sz w:val="15"/>
                <w:szCs w:val="15"/>
                <w:color w:val="auto"/>
              </w:rPr>
            </w:pPr>
          </w:p>
        </w:tc>
      </w:tr>
      <w:tr>
        <w:trPr>
          <w:trHeight w:val="21"/>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gains (losses) on cash flow hedging derivatives, net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9"/>
        </w:trPr>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gains (losses) on available-for-sale investments,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1"/>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2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6" w:name="page7"/>
    <w:bookmarkEnd w:id="6"/>
    <w:p>
      <w:pPr>
        <w:ind w:left="5280"/>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20" w:type="dxa"/>
            <w:vAlign w:val="bottom"/>
            <w:gridSpan w:val="2"/>
          </w:tcPr>
          <w:p>
            <w:pPr>
              <w:ind w:left="31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09"/>
        </w:trPr>
        <w:tc>
          <w:tcPr>
            <w:tcW w:w="7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2"/>
        </w:trPr>
        <w:tc>
          <w:tcPr>
            <w:tcW w:w="7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320" w:type="dxa"/>
            <w:vAlign w:val="bottom"/>
          </w:tcPr>
          <w:p>
            <w:pPr>
              <w:spacing w:after="0"/>
              <w:rPr>
                <w:sz w:val="13"/>
                <w:szCs w:val="13"/>
                <w:color w:val="auto"/>
              </w:rPr>
            </w:pPr>
          </w:p>
        </w:tc>
        <w:tc>
          <w:tcPr>
            <w:tcW w:w="1340" w:type="dxa"/>
            <w:vAlign w:val="bottom"/>
          </w:tcPr>
          <w:p>
            <w:pPr>
              <w:jc w:val="right"/>
              <w:ind w:right="298"/>
              <w:spacing w:after="0" w:line="152" w:lineRule="exact"/>
              <w:rPr>
                <w:sz w:val="20"/>
                <w:szCs w:val="20"/>
                <w:color w:val="auto"/>
              </w:rPr>
            </w:pPr>
            <w:r>
              <w:rPr>
                <w:rFonts w:ascii="Times New Roman" w:cs="Times New Roman" w:eastAsia="Times New Roman" w:hAnsi="Times New Roman"/>
                <w:sz w:val="16"/>
                <w:szCs w:val="16"/>
                <w:color w:val="auto"/>
              </w:rPr>
              <w:t>December 30,</w:t>
            </w:r>
          </w:p>
        </w:tc>
      </w:tr>
      <w:tr>
        <w:trPr>
          <w:trHeight w:val="219"/>
        </w:trPr>
        <w:tc>
          <w:tcPr>
            <w:tcW w:w="7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r>
      <w:tr>
        <w:trPr>
          <w:trHeight w:val="166"/>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left="959"/>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1340" w:type="dxa"/>
            <w:vAlign w:val="bottom"/>
          </w:tcPr>
          <w:p>
            <w:pPr>
              <w:spacing w:after="0"/>
              <w:rPr>
                <w:sz w:val="14"/>
                <w:szCs w:val="14"/>
                <w:color w:val="auto"/>
              </w:rPr>
            </w:pPr>
          </w:p>
        </w:tc>
      </w:tr>
      <w:tr>
        <w:trPr>
          <w:trHeight w:val="174"/>
        </w:trPr>
        <w:tc>
          <w:tcPr>
            <w:tcW w:w="7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center"/>
              <w:ind w:left="959"/>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340" w:type="dxa"/>
            <w:vAlign w:val="bottom"/>
          </w:tcPr>
          <w:p>
            <w:pPr>
              <w:spacing w:after="0"/>
              <w:rPr>
                <w:sz w:val="15"/>
                <w:szCs w:val="15"/>
                <w:color w:val="auto"/>
              </w:rPr>
            </w:pPr>
          </w:p>
        </w:tc>
      </w:tr>
      <w:tr>
        <w:trPr>
          <w:trHeight w:val="21"/>
        </w:trPr>
        <w:tc>
          <w:tcPr>
            <w:tcW w:w="7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OPERATING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80" w:type="dxa"/>
            <w:vAlign w:val="bottom"/>
          </w:tcPr>
          <w:p>
            <w:pPr>
              <w:spacing w:after="0"/>
              <w:rPr>
                <w:sz w:val="18"/>
                <w:szCs w:val="18"/>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7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09"/>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Provision for bad debt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7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09"/>
        </w:trPr>
        <w:tc>
          <w:tcPr>
            <w:tcW w:w="7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9"/>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9"/>
        </w:trPr>
        <w:tc>
          <w:tcPr>
            <w:tcW w:w="7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Changes to lease related balances, net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09"/>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non-cash charges, net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9"/>
        </w:trPr>
        <w:tc>
          <w:tcPr>
            <w:tcW w:w="7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7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09"/>
        </w:trPr>
        <w:tc>
          <w:tcPr>
            <w:tcW w:w="78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09"/>
        </w:trPr>
        <w:tc>
          <w:tcPr>
            <w:tcW w:w="7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09"/>
        </w:trPr>
        <w:tc>
          <w:tcPr>
            <w:tcW w:w="78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09"/>
        </w:trPr>
        <w:tc>
          <w:tcPr>
            <w:tcW w:w="7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9"/>
        </w:trPr>
        <w:tc>
          <w:tcPr>
            <w:tcW w:w="78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1"/>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w:t>
            </w:r>
          </w:p>
        </w:tc>
      </w:tr>
      <w:tr>
        <w:trPr>
          <w:trHeight w:val="20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INVESTING ACTIVITIES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and sales of investments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01"/>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979.4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(655.0)</w:t>
            </w:r>
          </w:p>
        </w:tc>
      </w:tr>
      <w:tr>
        <w:trPr>
          <w:trHeight w:val="20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FINANCING ACTIVITIES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 repurchase not yet settled</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6,089.5</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Taxes paid to net settle share-based awards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1"/>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(6,775.8)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5,809.2</w:t>
            </w:r>
          </w:p>
        </w:tc>
      </w:tr>
      <w:tr>
        <w:trPr>
          <w:trHeight w:val="20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6,107.0</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6,142.0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w:t>
            </w:r>
          </w:p>
        </w:tc>
      </w:tr>
      <w:tr>
        <w:trPr>
          <w:trHeight w:val="20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983.4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6,833.1</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782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Non-cash investing activity - property and equipment obligations</w:t>
            </w:r>
          </w:p>
        </w:tc>
        <w:tc>
          <w:tcPr>
            <w:tcW w:w="300" w:type="dxa"/>
            <w:vAlign w:val="bottom"/>
            <w:tcBorders>
              <w:bottom w:val="single" w:sz="8" w:color="auto"/>
            </w:tcBorders>
          </w:tcPr>
          <w:p>
            <w:pPr>
              <w:jc w:val="right"/>
              <w:ind w:right="118"/>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19.3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19.0</w:t>
            </w: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20"/>
          </w:cols>
          <w:pgMar w:left="320" w:top="818"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1. NATURE OF OPERATIONS</w:t>
      </w:r>
    </w:p>
    <w:p>
      <w:pPr>
        <w:spacing w:after="0" w:line="114" w:lineRule="exact"/>
        <w:rPr>
          <w:sz w:val="20"/>
          <w:szCs w:val="20"/>
          <w:color w:val="auto"/>
        </w:rPr>
      </w:pPr>
    </w:p>
    <w:p>
      <w:pPr>
        <w:jc w:val="both"/>
        <w:ind w:right="20" w:firstLine="294"/>
        <w:spacing w:after="0" w:line="267" w:lineRule="auto"/>
        <w:rPr>
          <w:sz w:val="20"/>
          <w:szCs w:val="20"/>
          <w:color w:val="auto"/>
        </w:rPr>
      </w:pPr>
      <w:r>
        <w:rPr>
          <w:rFonts w:ascii="Times New Roman" w:cs="Times New Roman" w:eastAsia="Times New Roman" w:hAnsi="Times New Roman"/>
          <w:sz w:val="16"/>
          <w:szCs w:val="16"/>
          <w:color w:val="auto"/>
        </w:rPr>
        <w:t>Tapestry, Inc. (the "Company") is a house of iconic accessories and lifestyle brands. Our global house of brands unites the magic of Coach, kate spade new york and Stuart Weitzman. Each of our brands are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261"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The Coach, Kate Spade and Stuart Weitzman segments include global sales of products to customers through our direct-to-consumer ("DTC"), wholesale and licensing businesses.</w:t>
      </w:r>
    </w:p>
    <w:p>
      <w:pPr>
        <w:spacing w:after="0" w:line="134" w:lineRule="exact"/>
        <w:rPr>
          <w:sz w:val="20"/>
          <w:szCs w:val="20"/>
          <w:color w:val="auto"/>
        </w:rPr>
      </w:pPr>
    </w:p>
    <w:p>
      <w:pPr>
        <w:ind w:left="300" w:right="7240" w:hanging="228"/>
        <w:spacing w:after="0" w:line="386" w:lineRule="auto"/>
        <w:tabs>
          <w:tab w:leader="none" w:pos="24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BASIS OF PRESENTATION AND ORGANIZATION </w:t>
      </w:r>
      <w:r>
        <w:rPr>
          <w:rFonts w:ascii="Times New Roman" w:cs="Times New Roman" w:eastAsia="Times New Roman" w:hAnsi="Times New Roman"/>
          <w:sz w:val="16"/>
          <w:szCs w:val="16"/>
          <w:b w:val="1"/>
          <w:bCs w:val="1"/>
          <w:i w:val="1"/>
          <w:iCs w:val="1"/>
          <w:color w:val="auto"/>
        </w:rPr>
        <w:t>Interim Financial Statements</w:t>
      </w:r>
    </w:p>
    <w:p>
      <w:pPr>
        <w:spacing w:after="0" w:line="1"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29, 2024 ("fiscal 2024") and other filings filed with the SEC.</w:t>
      </w:r>
    </w:p>
    <w:p>
      <w:pPr>
        <w:spacing w:after="0" w:line="263"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results of operations, cash flows and comprehensive income for the six months ended December 28, 2024 are not necessarily indicative of results to be expected for the entire fiscal year, which will end on June 28, 2025 ("fiscal 2025").</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Fiscal Periods</w:t>
      </w:r>
    </w:p>
    <w:p>
      <w:pPr>
        <w:spacing w:after="0" w:line="114"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The Company utilizes a 52-53 week fiscal year ending on the Saturday closest to June 30. Fiscal 2025 will be a 52-week period. Fiscal 2024, ended on June 29, 2024, was also a 52-week period. The second quarter of fiscal 2025 ended on December 28, 2024 and the second quarter of fiscal 2024 ended on December 30, 2023, both of which were 13-week periods.</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14"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40"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4"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114"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The Company accounts for share repurchases by allocating the repurchase price to common stock and retained earnings. Under Maryland law, the Company's state of incorporation, there are no treasury shares. All repurchased shares are authorized but unissued shares; these shares may be issued in the future for general corporate and other purposes. The Company may terminate or limit the share repurchase programs at any time. The Company accrues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are recorded in Retained earnings as part of Stockholders' Equity.</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Supplier Finance Program</w:t>
      </w:r>
    </w:p>
    <w:p>
      <w:pPr>
        <w:spacing w:after="0" w:line="114"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December 28, 2024 and June 29, 2024, $335.9 million and $294.9 million, respectively, was related to suppliers eligible to participate in the Company's SCF program and presented within Accounts payable on the Condensed Consolidated Balance Sheets.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Reclassification</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 reclassification has been made to the prior period's financial information to conform to the current period's presentation. Amortization of cloud computing arrangements of $26.8 million during the six months ended December 30, 2023 has been reclassified out of Other assets and into Amortization of cloud computing arrangements within the Company’s Condensed Consolidated Statements of Cash Flows.</w:t>
      </w:r>
    </w:p>
    <w:p>
      <w:pPr>
        <w:spacing w:after="0" w:line="149" w:lineRule="exact"/>
        <w:rPr>
          <w:sz w:val="20"/>
          <w:szCs w:val="20"/>
          <w:color w:val="auto"/>
        </w:rPr>
      </w:pPr>
    </w:p>
    <w:p>
      <w:pPr>
        <w:ind w:left="300" w:right="7480" w:hanging="228"/>
        <w:spacing w:after="0" w:line="386" w:lineRule="auto"/>
        <w:tabs>
          <w:tab w:leader="none" w:pos="24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RECENT ACCOUNTING PRONOUNCEMENTS </w:t>
      </w:r>
      <w:r>
        <w:rPr>
          <w:rFonts w:ascii="Times New Roman" w:cs="Times New Roman" w:eastAsia="Times New Roman" w:hAnsi="Times New Roman"/>
          <w:sz w:val="16"/>
          <w:szCs w:val="16"/>
          <w:b w:val="1"/>
          <w:bCs w:val="1"/>
          <w:i w:val="1"/>
          <w:iCs w:val="1"/>
          <w:color w:val="auto"/>
        </w:rPr>
        <w:t>Recently Issued Accounting Pronouncements</w:t>
      </w:r>
    </w:p>
    <w:p>
      <w:pPr>
        <w:spacing w:after="0" w:line="1"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 November 2023, the Financial Accounting Standards Board (the "FASB") issued Accounting Standards Update ("ASU") No. 2023-07, "Segment Reporting (Topic 280): Improvements to Reportable Segment Disclosures", which expands reportable segment disclosure requirements, primarily through enhanced disclosures about significant segment expenses. The amendments will require public entities to disclose significant segment expenses that are regularly provided to the chief operating decision maker and included within segment profit and loss. The amendments will be effective for the Company's annual reporting periods beginning in fiscal year 2025 and for interim periods beginning in fiscal year 2026, with early adoption permitted, and will be applied retrospectively to all prior periods presented in the financial statements. The Company is currently evaluating the ASU to determine its impact on the Company's disclosures.</w:t>
      </w:r>
    </w:p>
    <w:p>
      <w:pPr>
        <w:spacing w:after="0" w:line="6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59"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6"/>
          <w:szCs w:val="16"/>
          <w:b w:val="1"/>
          <w:bCs w:val="1"/>
          <w:color w:val="auto"/>
        </w:rPr>
        <w:t>4. REVENUE</w:t>
      </w:r>
    </w:p>
    <w:p>
      <w:pPr>
        <w:spacing w:after="0" w:line="114" w:lineRule="exact"/>
        <w:rPr>
          <w:sz w:val="20"/>
          <w:szCs w:val="20"/>
          <w:color w:val="auto"/>
        </w:rPr>
      </w:pPr>
    </w:p>
    <w:p>
      <w:pPr>
        <w:jc w:val="both"/>
        <w:ind w:left="2" w:firstLine="294"/>
        <w:spacing w:after="0" w:line="262" w:lineRule="auto"/>
        <w:rPr>
          <w:sz w:val="20"/>
          <w:szCs w:val="20"/>
          <w:color w:val="auto"/>
        </w:rPr>
      </w:pPr>
      <w:r>
        <w:rPr>
          <w:rFonts w:ascii="Times New Roman" w:cs="Times New Roman" w:eastAsia="Times New Roman" w:hAnsi="Times New Roman"/>
          <w:sz w:val="16"/>
          <w:szCs w:val="16"/>
          <w:color w:val="auto"/>
        </w:rPr>
        <w:t>The Company recognizes revenue primarily from sales of the products of its brands through our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66"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55"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Other practical expedients elected by the Company include (i) assuming no significant financing component exists for any contract with a duration of one year or less,</w:t>
      </w:r>
    </w:p>
    <w:p>
      <w:pPr>
        <w:spacing w:after="0" w:line="30" w:lineRule="exact"/>
        <w:rPr>
          <w:sz w:val="20"/>
          <w:szCs w:val="20"/>
          <w:color w:val="auto"/>
        </w:rPr>
      </w:pPr>
    </w:p>
    <w:p>
      <w:pPr>
        <w:ind w:left="242" w:hanging="242"/>
        <w:spacing w:after="0"/>
        <w:tabs>
          <w:tab w:leader="none" w:pos="24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for shipping and handling as a fulfillment activity within SG&amp;A expense regardless of the timing of the shipment in relation to the transfer of control and</w:t>
      </w:r>
    </w:p>
    <w:p>
      <w:pPr>
        <w:spacing w:after="0" w:line="1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sales and value added tax from the transaction price.</w:t>
      </w:r>
    </w:p>
    <w:p>
      <w:pPr>
        <w:spacing w:after="0" w:line="89"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Direct-to-Consumer</w:t>
      </w:r>
    </w:p>
    <w:p>
      <w:pPr>
        <w:spacing w:after="0" w:line="114" w:lineRule="exact"/>
        <w:rPr>
          <w:sz w:val="20"/>
          <w:szCs w:val="20"/>
          <w:color w:val="auto"/>
        </w:rPr>
      </w:pPr>
    </w:p>
    <w:p>
      <w:pPr>
        <w:jc w:val="both"/>
        <w:ind w:left="2" w:firstLine="294"/>
        <w:spacing w:after="0" w:line="269" w:lineRule="auto"/>
        <w:rPr>
          <w:sz w:val="20"/>
          <w:szCs w:val="20"/>
          <w:color w:val="auto"/>
        </w:rPr>
      </w:pPr>
      <w:r>
        <w:rPr>
          <w:rFonts w:ascii="Times New Roman" w:cs="Times New Roman" w:eastAsia="Times New Roman" w:hAnsi="Times New Roman"/>
          <w:sz w:val="16"/>
          <w:szCs w:val="16"/>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59"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55"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51"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Wholesale</w:t>
      </w:r>
    </w:p>
    <w:p>
      <w:pPr>
        <w:spacing w:after="0" w:line="114" w:lineRule="exact"/>
        <w:rPr>
          <w:sz w:val="20"/>
          <w:szCs w:val="20"/>
          <w:color w:val="auto"/>
        </w:rPr>
      </w:pPr>
    </w:p>
    <w:p>
      <w:pPr>
        <w:jc w:val="both"/>
        <w:ind w:left="2" w:right="20" w:firstLine="294"/>
        <w:spacing w:after="0" w:line="262" w:lineRule="auto"/>
        <w:rPr>
          <w:sz w:val="20"/>
          <w:szCs w:val="20"/>
          <w:color w:val="auto"/>
        </w:rPr>
      </w:pPr>
      <w:r>
        <w:rPr>
          <w:rFonts w:ascii="Times New Roman" w:cs="Times New Roman" w:eastAsia="Times New Roman" w:hAnsi="Times New Roman"/>
          <w:sz w:val="16"/>
          <w:szCs w:val="16"/>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200" w:lineRule="exact"/>
        <w:rPr>
          <w:sz w:val="20"/>
          <w:szCs w:val="20"/>
          <w:color w:val="auto"/>
        </w:rPr>
      </w:pPr>
    </w:p>
    <w:p>
      <w:pPr>
        <w:spacing w:after="0" w:line="3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2"/>
          </w:cols>
          <w:pgMar w:left="318" w:top="119" w:right="319" w:bottom="1440" w:gutter="0" w:footer="0" w:header="0"/>
        </w:sectPr>
      </w:pPr>
    </w:p>
    <w:bookmarkStart w:id="10" w:name="page11"/>
    <w:bookmarkEnd w:id="10"/>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Licensing</w:t>
      </w:r>
    </w:p>
    <w:p>
      <w:pPr>
        <w:spacing w:after="0" w:line="114"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six months ended December 28, 2024.</w:t>
      </w:r>
    </w:p>
    <w:p>
      <w:pPr>
        <w:spacing w:after="0" w:line="6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Disaggregated Net Sales</w:t>
      </w:r>
    </w:p>
    <w:p>
      <w:pPr>
        <w:spacing w:after="0" w:line="114"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63" w:lineRule="exact"/>
        <w:rPr>
          <w:sz w:val="20"/>
          <w:szCs w:val="20"/>
          <w:color w:val="auto"/>
        </w:rPr>
      </w:pPr>
    </w:p>
    <w:tbl>
      <w:tblPr>
        <w:tblLayout w:type="fixed"/>
        <w:tblInd w:w="12" w:type="dxa"/>
        <w:tblCellMar>
          <w:top w:w="0" w:type="dxa"/>
          <w:left w:w="0" w:type="dxa"/>
          <w:bottom w:w="0" w:type="dxa"/>
          <w:right w:w="0" w:type="dxa"/>
        </w:tblCellMar>
      </w:tblPr>
      <w:tr>
        <w:trPr>
          <w:trHeight w:val="241"/>
        </w:trPr>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Greater China</w:t>
            </w:r>
            <w:r>
              <w:rPr>
                <w:rFonts w:ascii="Times New Roman" w:cs="Times New Roman" w:eastAsia="Times New Roman" w:hAnsi="Times New Roman"/>
                <w:sz w:val="21"/>
                <w:szCs w:val="21"/>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Other Asia</w:t>
            </w:r>
            <w:r>
              <w:rPr>
                <w:rFonts w:ascii="Times New Roman" w:cs="Times New Roman" w:eastAsia="Times New Roman" w:hAnsi="Times New Roman"/>
                <w:sz w:val="21"/>
                <w:szCs w:val="21"/>
                <w:b w:val="1"/>
                <w:bCs w:val="1"/>
                <w:color w:val="auto"/>
                <w:w w:val="96"/>
                <w:vertAlign w:val="superscript"/>
              </w:rPr>
              <w:t>(2)</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1"/>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8"/>
        </w:trPr>
        <w:tc>
          <w:tcPr>
            <w:tcW w:w="4200" w:type="dxa"/>
            <w:vAlign w:val="bottom"/>
            <w:tcBorders>
              <w:left w:val="single" w:sz="8" w:color="CCEEFF"/>
            </w:tcBorders>
            <w:gridSpan w:val="5"/>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December 28, 2024</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37"/>
        </w:trPr>
        <w:tc>
          <w:tcPr>
            <w:tcW w:w="218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218.3</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10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1,709.3</w:t>
            </w:r>
          </w:p>
        </w:tc>
      </w:tr>
      <w:tr>
        <w:trPr>
          <w:trHeight w:val="209"/>
        </w:trPr>
        <w:tc>
          <w:tcPr>
            <w:tcW w:w="420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416.4</w:t>
            </w:r>
          </w:p>
        </w:tc>
      </w:tr>
      <w:tr>
        <w:trPr>
          <w:trHeight w:val="209"/>
        </w:trPr>
        <w:tc>
          <w:tcPr>
            <w:tcW w:w="4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w:t>
            </w:r>
          </w:p>
        </w:tc>
      </w:tr>
      <w:tr>
        <w:trPr>
          <w:trHeight w:val="226"/>
        </w:trPr>
        <w:tc>
          <w:tcPr>
            <w:tcW w:w="4200" w:type="dxa"/>
            <w:vAlign w:val="bottom"/>
            <w:tcBorders>
              <w:left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2"/>
        </w:trPr>
        <w:tc>
          <w:tcPr>
            <w:tcW w:w="4200" w:type="dxa"/>
            <w:vAlign w:val="bottom"/>
            <w:tcBorders>
              <w:left w:val="single" w:sz="8" w:color="CCEEFF"/>
            </w:tcBorders>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Three Months Ended December 30, 2023</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7"/>
        </w:trPr>
        <w:tc>
          <w:tcPr>
            <w:tcW w:w="218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1,541.9</w:t>
            </w:r>
          </w:p>
        </w:tc>
      </w:tr>
      <w:tr>
        <w:trPr>
          <w:trHeight w:val="209"/>
        </w:trPr>
        <w:tc>
          <w:tcPr>
            <w:tcW w:w="420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r>
      <w:tr>
        <w:trPr>
          <w:trHeight w:val="209"/>
        </w:trPr>
        <w:tc>
          <w:tcPr>
            <w:tcW w:w="4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26"/>
        </w:trPr>
        <w:tc>
          <w:tcPr>
            <w:tcW w:w="4200" w:type="dxa"/>
            <w:vAlign w:val="bottom"/>
            <w:tcBorders>
              <w:left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2"/>
        </w:trPr>
        <w:tc>
          <w:tcPr>
            <w:tcW w:w="4200" w:type="dxa"/>
            <w:vAlign w:val="bottom"/>
            <w:tcBorders>
              <w:left w:val="single" w:sz="8" w:color="CCEEFF"/>
            </w:tcBorders>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Six Months Ended December 28, 2024</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7"/>
        </w:trPr>
        <w:tc>
          <w:tcPr>
            <w:tcW w:w="218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1,813.9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392.7</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216.7</w:t>
            </w:r>
          </w:p>
        </w:tc>
        <w:tc>
          <w:tcPr>
            <w:tcW w:w="10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2,879.9</w:t>
            </w:r>
          </w:p>
        </w:tc>
      </w:tr>
      <w:tr>
        <w:trPr>
          <w:trHeight w:val="209"/>
        </w:trPr>
        <w:tc>
          <w:tcPr>
            <w:tcW w:w="420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699.6</w:t>
            </w:r>
          </w:p>
        </w:tc>
      </w:tr>
      <w:tr>
        <w:trPr>
          <w:trHeight w:val="209"/>
        </w:trPr>
        <w:tc>
          <w:tcPr>
            <w:tcW w:w="4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r>
      <w:tr>
        <w:trPr>
          <w:trHeight w:val="226"/>
        </w:trPr>
        <w:tc>
          <w:tcPr>
            <w:tcW w:w="4200" w:type="dxa"/>
            <w:vAlign w:val="bottom"/>
            <w:tcBorders>
              <w:left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2"/>
        </w:trPr>
        <w:tc>
          <w:tcPr>
            <w:tcW w:w="4200" w:type="dxa"/>
            <w:vAlign w:val="bottom"/>
            <w:tcBorders>
              <w:left w:val="single" w:sz="8" w:color="CCEEFF"/>
            </w:tcBorders>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Six Months Ended December 30, 2023</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7"/>
        </w:trPr>
        <w:tc>
          <w:tcPr>
            <w:tcW w:w="218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2,699.3</w:t>
            </w:r>
          </w:p>
        </w:tc>
      </w:tr>
      <w:tr>
        <w:trPr>
          <w:trHeight w:val="209"/>
        </w:trPr>
        <w:tc>
          <w:tcPr>
            <w:tcW w:w="420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209"/>
        </w:trPr>
        <w:tc>
          <w:tcPr>
            <w:tcW w:w="4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26"/>
        </w:trPr>
        <w:tc>
          <w:tcPr>
            <w:tcW w:w="4200" w:type="dxa"/>
            <w:vAlign w:val="bottom"/>
            <w:tcBorders>
              <w:left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21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28" w:lineRule="exact"/>
        <w:rPr>
          <w:sz w:val="20"/>
          <w:szCs w:val="20"/>
          <w:color w:val="auto"/>
        </w:rPr>
      </w:pPr>
    </w:p>
    <w:p>
      <w:pPr>
        <w:ind w:left="282" w:hanging="282"/>
        <w:spacing w:after="0"/>
        <w:tabs>
          <w:tab w:leader="none" w:pos="28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Greater China includes mainland China, Taiwan, and Hong Kong SAR and Macao SAR.</w:t>
      </w:r>
    </w:p>
    <w:p>
      <w:pPr>
        <w:spacing w:after="0" w:line="74" w:lineRule="exact"/>
        <w:rPr>
          <w:rFonts w:ascii="Times New Roman" w:cs="Times New Roman" w:eastAsia="Times New Roman" w:hAnsi="Times New Roman"/>
          <w:sz w:val="21"/>
          <w:szCs w:val="21"/>
          <w:color w:val="auto"/>
          <w:vertAlign w:val="superscript"/>
        </w:rPr>
      </w:pPr>
    </w:p>
    <w:p>
      <w:pPr>
        <w:ind w:left="282" w:hanging="282"/>
        <w:spacing w:after="0" w:line="218" w:lineRule="auto"/>
        <w:tabs>
          <w:tab w:leader="none" w:pos="28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Asia includes Japan, Malaysia, Australia, New Zealand, South Korea, Singapore, and other countries within Asia.</w:t>
      </w:r>
    </w:p>
    <w:p>
      <w:pPr>
        <w:spacing w:after="0" w:line="75" w:lineRule="exact"/>
        <w:rPr>
          <w:rFonts w:ascii="Times New Roman" w:cs="Times New Roman" w:eastAsia="Times New Roman" w:hAnsi="Times New Roman"/>
          <w:sz w:val="21"/>
          <w:szCs w:val="21"/>
          <w:color w:val="auto"/>
          <w:vertAlign w:val="superscript"/>
        </w:rPr>
      </w:pPr>
    </w:p>
    <w:p>
      <w:pPr>
        <w:ind w:left="282" w:hanging="282"/>
        <w:spacing w:after="0" w:line="218" w:lineRule="auto"/>
        <w:tabs>
          <w:tab w:leader="none" w:pos="28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sales primarily represents sales in Europe, the Middle East and royalties earned from the Company's licensing partners.</w:t>
      </w: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2"/>
          </w:cols>
          <w:pgMar w:left="318" w:top="119"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14" w:lineRule="exact"/>
        <w:rPr>
          <w:sz w:val="20"/>
          <w:szCs w:val="20"/>
          <w:color w:val="auto"/>
        </w:rPr>
      </w:pPr>
    </w:p>
    <w:p>
      <w:pPr>
        <w:jc w:val="both"/>
        <w:ind w:right="20" w:firstLine="294"/>
        <w:spacing w:after="0" w:line="263" w:lineRule="auto"/>
        <w:rPr>
          <w:sz w:val="20"/>
          <w:szCs w:val="20"/>
          <w:color w:val="auto"/>
        </w:rPr>
      </w:pPr>
      <w:r>
        <w:rPr>
          <w:rFonts w:ascii="Times New Roman" w:cs="Times New Roman" w:eastAsia="Times New Roman" w:hAnsi="Times New Roman"/>
          <w:sz w:val="16"/>
          <w:szCs w:val="16"/>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December 28, 2024 and June 29, 2024 was $50.0 million and $45.5 million, respectively, which were primarily recorded within Accrued liabilities on the Company's Condensed Consolidated Balance Sheets and are generally expected to be recognized as revenue within a year. For the six months ended December 28, 2024, net sales of $16.3 million were recognized from amounts recorded as deferred revenue as of June 29, 2024. For the six months ended December 30, 2023, net sales of $21.3 million were recognized from amounts recorded as deferred revenue as of July 1, 2023.</w:t>
      </w:r>
    </w:p>
    <w:p>
      <w:pPr>
        <w:spacing w:after="0" w:line="3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5. ACQUISITIONS</w:t>
      </w:r>
    </w:p>
    <w:p>
      <w:pPr>
        <w:spacing w:after="0" w:line="114" w:lineRule="exact"/>
        <w:rPr>
          <w:sz w:val="20"/>
          <w:szCs w:val="20"/>
          <w:color w:val="auto"/>
        </w:rPr>
      </w:pPr>
    </w:p>
    <w:p>
      <w:pPr>
        <w:jc w:val="both"/>
        <w:ind w:right="20" w:firstLine="294"/>
        <w:spacing w:after="0" w:line="258" w:lineRule="auto"/>
        <w:rPr>
          <w:sz w:val="20"/>
          <w:szCs w:val="20"/>
          <w:color w:val="auto"/>
        </w:rPr>
      </w:pPr>
      <w:r>
        <w:rPr>
          <w:rFonts w:ascii="Times New Roman" w:cs="Times New Roman" w:eastAsia="Times New Roman" w:hAnsi="Times New Roman"/>
          <w:sz w:val="16"/>
          <w:szCs w:val="16"/>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w:t>
      </w:r>
    </w:p>
    <w:p>
      <w:pPr>
        <w:spacing w:after="0" w:line="75"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In order to finance the Capri Acquisition, on November 27, 2023, the Company issued $4.50 billion of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(such redemption, the “Special Mandatory Redemption”). In addition, the Capri Acquisition Term Loan Facilities were terminated concurrently with the execution of the Termination Agreement on November 13, 2024. Refer to Note 11, "Debt," for further information on our debt instruments related to the Capri Acquisition.</w:t>
      </w:r>
    </w:p>
    <w:p>
      <w:pPr>
        <w:spacing w:after="0" w:line="264" w:lineRule="exact"/>
        <w:rPr>
          <w:sz w:val="20"/>
          <w:szCs w:val="20"/>
          <w:color w:val="auto"/>
        </w:rPr>
      </w:pPr>
    </w:p>
    <w:p>
      <w:pPr>
        <w:jc w:val="both"/>
        <w:ind w:right="20" w:firstLine="294"/>
        <w:spacing w:after="0" w:line="263" w:lineRule="auto"/>
        <w:rPr>
          <w:sz w:val="20"/>
          <w:szCs w:val="20"/>
          <w:color w:val="auto"/>
        </w:rPr>
      </w:pPr>
      <w:r>
        <w:rPr>
          <w:rFonts w:ascii="Times New Roman" w:cs="Times New Roman" w:eastAsia="Times New Roman" w:hAnsi="Times New Roman"/>
          <w:sz w:val="16"/>
          <w:szCs w:val="16"/>
          <w:color w:val="auto"/>
        </w:rPr>
        <w:t>In conjunction with the Capri Acquisition, during the three months ended December 28, 2024, the Company incurred $197.6 million in pre-tax expenses primarily related to Loss on extinguishment of debt as a result of the redemption of the Capri Acquisition Senior Notes, expense reimbursement payment made to Capri, financing-related expenses and professional fees. During the six months ended December 28, 2024, the Company incurred $268.4 million in pre-tax expenses primarily related to Loss on extinguishment of debt as a result of the redemption of the Capri Acquisition Senior Notes, financing-related expenses, expense reimbursement payment made to Capri and professional fees. The Company incurred $72.4 million and $98.7 million for the three and six months ended December 30, 2023, respectively, of pre-tax expenses primarily related to financing-related expenses and professional fees.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12" w:name="page13"/>
    <w:bookmarkEnd w:id="1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2" w:right="7380" w:hanging="302"/>
        <w:spacing w:after="0" w:line="386" w:lineRule="auto"/>
        <w:tabs>
          <w:tab w:leader="none" w:pos="171"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GOODWILL AND OTHER INTANGIBLE ASSETS </w:t>
      </w:r>
      <w:r>
        <w:rPr>
          <w:rFonts w:ascii="Times New Roman" w:cs="Times New Roman" w:eastAsia="Times New Roman" w:hAnsi="Times New Roman"/>
          <w:sz w:val="16"/>
          <w:szCs w:val="16"/>
          <w:b w:val="1"/>
          <w:bCs w:val="1"/>
          <w:i w:val="1"/>
          <w:iCs w:val="1"/>
          <w:color w:val="auto"/>
        </w:rPr>
        <w:t>Goodwill</w:t>
      </w:r>
    </w:p>
    <w:p>
      <w:pPr>
        <w:spacing w:after="0" w:line="1" w:lineRule="exact"/>
        <w:rPr>
          <w:rFonts w:ascii="Times New Roman" w:cs="Times New Roman" w:eastAsia="Times New Roman" w:hAnsi="Times New Roman"/>
          <w:sz w:val="16"/>
          <w:szCs w:val="16"/>
          <w:b w:val="1"/>
          <w:bCs w:val="1"/>
          <w:color w:val="auto"/>
        </w:rPr>
      </w:pPr>
    </w:p>
    <w:p>
      <w:pPr>
        <w:ind w:left="36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change in the carrying amount of the Company’s goodwill by segment is as follows:</w:t>
      </w:r>
    </w:p>
    <w:p>
      <w:pPr>
        <w:spacing w:after="0" w:line="119" w:lineRule="exact"/>
        <w:rPr>
          <w:sz w:val="20"/>
          <w:szCs w:val="20"/>
          <w:color w:val="auto"/>
        </w:rPr>
      </w:pPr>
    </w:p>
    <w:tbl>
      <w:tblPr>
        <w:tblLayout w:type="fixed"/>
        <w:tblInd w:w="2" w:type="dxa"/>
        <w:tblCellMar>
          <w:top w:w="0" w:type="dxa"/>
          <w:left w:w="0" w:type="dxa"/>
          <w:bottom w:w="0" w:type="dxa"/>
          <w:right w:w="0" w:type="dxa"/>
        </w:tblCellMar>
      </w:tblPr>
      <w:tr>
        <w:trPr>
          <w:trHeight w:val="241"/>
        </w:trPr>
        <w:tc>
          <w:tcPr>
            <w:tcW w:w="2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Coach</w:t>
            </w: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Stuart Weitzman</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1"/>
        </w:trPr>
        <w:tc>
          <w:tcPr>
            <w:tcW w:w="2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gridSpan w:val="3"/>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4"/>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29, 2024</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626.1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w:t>
            </w:r>
          </w:p>
        </w:tc>
      </w:tr>
      <w:tr>
        <w:trPr>
          <w:trHeight w:val="209"/>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Foreign exchange impact</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r>
      <w:tr>
        <w:trPr>
          <w:trHeight w:val="226"/>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2024</w:t>
            </w:r>
          </w:p>
        </w:tc>
        <w:tc>
          <w:tcPr>
            <w:tcW w:w="1200" w:type="dxa"/>
            <w:vAlign w:val="bottom"/>
            <w:tcBorders>
              <w:top w:val="single" w:sz="8" w:color="auto"/>
              <w:bottom w:val="single" w:sz="8" w:color="auto"/>
            </w:tcBorders>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625.6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2180" w:type="dxa"/>
            <w:vAlign w:val="bottom"/>
            <w:tcBorders>
              <w:bottom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128" w:lineRule="exact"/>
        <w:rPr>
          <w:sz w:val="20"/>
          <w:szCs w:val="20"/>
          <w:color w:val="auto"/>
        </w:rPr>
      </w:pPr>
    </w:p>
    <w:p>
      <w:pPr>
        <w:ind w:left="262" w:hanging="262"/>
        <w:spacing w:after="0"/>
        <w:tabs>
          <w:tab w:leader="none" w:pos="262"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is net of accumulated goodwill impairment charges of $210.7 million as of December 28, 2024 and June 29, 2024.</w:t>
      </w:r>
    </w:p>
    <w:p>
      <w:pPr>
        <w:spacing w:after="0" w:line="76" w:lineRule="exact"/>
        <w:rPr>
          <w:rFonts w:ascii="Times New Roman" w:cs="Times New Roman" w:eastAsia="Times New Roman" w:hAnsi="Times New Roman"/>
          <w:sz w:val="21"/>
          <w:szCs w:val="21"/>
          <w:color w:val="auto"/>
          <w:vertAlign w:val="superscript"/>
        </w:rPr>
      </w:pPr>
    </w:p>
    <w:p>
      <w:pPr>
        <w:ind w:left="302"/>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i w:val="1"/>
          <w:iCs w:val="1"/>
          <w:color w:val="auto"/>
        </w:rPr>
        <w:t>Intangible Assets</w:t>
      </w:r>
    </w:p>
    <w:p>
      <w:pPr>
        <w:spacing w:after="0" w:line="114" w:lineRule="exact"/>
        <w:rPr>
          <w:rFonts w:ascii="Times New Roman" w:cs="Times New Roman" w:eastAsia="Times New Roman" w:hAnsi="Times New Roman"/>
          <w:sz w:val="21"/>
          <w:szCs w:val="21"/>
          <w:color w:val="auto"/>
          <w:vertAlign w:val="superscript"/>
        </w:rPr>
      </w:pPr>
    </w:p>
    <w:p>
      <w:pPr>
        <w:ind w:left="302"/>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Intangible assets consist of the following:</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June 29, 2024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38"/>
              <w:spacing w:after="0" w:line="156"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6"/>
                <w:szCs w:val="16"/>
                <w:color w:val="auto"/>
              </w:rPr>
              <w:t>Gross</w:t>
            </w:r>
          </w:p>
        </w:tc>
        <w:tc>
          <w:tcPr>
            <w:tcW w:w="200" w:type="dxa"/>
            <w:vAlign w:val="bottom"/>
          </w:tcPr>
          <w:p>
            <w:pPr>
              <w:spacing w:after="0"/>
              <w:rPr>
                <w:sz w:val="13"/>
                <w:szCs w:val="13"/>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9"/>
              </w:rPr>
              <w:t>Accum.</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line="168" w:lineRule="exact"/>
              <w:rPr>
                <w:sz w:val="20"/>
                <w:szCs w:val="20"/>
                <w:color w:val="auto"/>
              </w:rPr>
            </w:pPr>
            <w:r>
              <w:rPr>
                <w:rFonts w:ascii="Times New Roman" w:cs="Times New Roman" w:eastAsia="Times New Roman" w:hAnsi="Times New Roman"/>
                <w:sz w:val="16"/>
                <w:szCs w:val="16"/>
                <w:color w:val="auto"/>
              </w:rPr>
              <w:t>Carrying</w:t>
            </w: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Amort.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subject to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14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1"/>
        </w:trPr>
        <w:tc>
          <w:tcPr>
            <w:tcW w:w="44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not subject to amortization: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1,309.8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0" w:type="dxa"/>
            <w:vAlign w:val="bottom"/>
          </w:tcPr>
          <w:p>
            <w:pPr>
              <w:spacing w:after="0"/>
              <w:rPr>
                <w:sz w:val="1"/>
                <w:szCs w:val="1"/>
                <w:color w:val="auto"/>
              </w:rPr>
            </w:pPr>
          </w:p>
        </w:tc>
      </w:tr>
      <w:tr>
        <w:trPr>
          <w:trHeight w:val="201"/>
        </w:trPr>
        <w:tc>
          <w:tcPr>
            <w:tcW w:w="44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1,410.1</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1,350.3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Amortization expense for the Company’s definite-lived intangible assets for the three and six months ended December 28, 2024 was $1.7 million and $3.3 million, respectively. Amortization expense for the Company’s definite-lived intangible assets for the three and six months ended December 30, 2023 was $1.6 million and $3.2 million, respectively</w:t>
      </w:r>
      <w:r>
        <w:rPr>
          <w:rFonts w:ascii="Arial" w:cs="Arial" w:eastAsia="Arial" w:hAnsi="Arial"/>
          <w:sz w:val="14"/>
          <w:szCs w:val="14"/>
          <w:color w:val="auto"/>
        </w:rPr>
        <w:t>.</w:t>
      </w:r>
    </w:p>
    <w:p>
      <w:pPr>
        <w:spacing w:after="0" w:line="55"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As of December 28, 2024, the expected amortization expense for intangible assets is as follows:</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Amortization Expense</w:t>
            </w:r>
          </w:p>
        </w:tc>
      </w:tr>
      <w:tr>
        <w:trPr>
          <w:trHeight w:val="171"/>
        </w:trPr>
        <w:tc>
          <w:tcPr>
            <w:tcW w:w="8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21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fiscal 2025</w:t>
            </w: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2026</w:t>
            </w:r>
          </w:p>
        </w:tc>
        <w:tc>
          <w:tcPr>
            <w:tcW w:w="3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2027</w:t>
            </w: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2028</w:t>
            </w:r>
          </w:p>
        </w:tc>
        <w:tc>
          <w:tcPr>
            <w:tcW w:w="3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2029</w:t>
            </w: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2030 and thereafter</w:t>
            </w: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26"/>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expected amortization expense above reflects remaining useful lives ranging from approximately 5.2 to 7.5 years for customer relationships.</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right="8900" w:hanging="228"/>
        <w:spacing w:after="0" w:line="386" w:lineRule="auto"/>
        <w:tabs>
          <w:tab w:leader="none" w:pos="243"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 Share Repurchase Program</w:t>
      </w:r>
    </w:p>
    <w:p>
      <w:pPr>
        <w:spacing w:after="0" w:line="1" w:lineRule="exact"/>
        <w:rPr>
          <w:sz w:val="20"/>
          <w:szCs w:val="20"/>
          <w:color w:val="auto"/>
        </w:rPr>
      </w:pPr>
    </w:p>
    <w:p>
      <w:pPr>
        <w:jc w:val="both"/>
        <w:ind w:firstLine="294"/>
        <w:spacing w:after="0" w:line="257" w:lineRule="auto"/>
        <w:rPr>
          <w:sz w:val="20"/>
          <w:szCs w:val="20"/>
          <w:color w:val="auto"/>
        </w:rPr>
      </w:pPr>
      <w:r>
        <w:rPr>
          <w:rFonts w:ascii="Times New Roman" w:cs="Times New Roman" w:eastAsia="Times New Roman" w:hAnsi="Times New Roman"/>
          <w:sz w:val="16"/>
          <w:szCs w:val="16"/>
          <w:color w:val="auto"/>
        </w:rPr>
        <w:t>On November 13, 2024, the Board of Directors of the Company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The $2.00 billion authorized for purchases under the 2025 Share Repurchase Program is supplemental to the $800.0 million remaining in authorized purchases under the share repurchase program authorized by the Board in May 2022 (the "2022 Share Repurchase Program").</w:t>
      </w:r>
    </w:p>
    <w:p>
      <w:pPr>
        <w:spacing w:after="0" w:line="2" w:lineRule="exact"/>
        <w:rPr>
          <w:sz w:val="20"/>
          <w:szCs w:val="20"/>
          <w:color w:val="auto"/>
        </w:rPr>
      </w:pPr>
    </w:p>
    <w:p>
      <w:pPr>
        <w:jc w:val="both"/>
        <w:ind w:firstLine="294"/>
        <w:spacing w:after="0"/>
        <w:rPr>
          <w:sz w:val="20"/>
          <w:szCs w:val="20"/>
          <w:color w:val="auto"/>
        </w:rPr>
      </w:pPr>
      <w:r>
        <w:rPr>
          <w:rFonts w:ascii="Times New Roman" w:cs="Times New Roman" w:eastAsia="Times New Roman" w:hAnsi="Times New Roman"/>
          <w:sz w:val="16"/>
          <w:szCs w:val="16"/>
          <w:color w:val="auto"/>
        </w:rPr>
        <w:t>Under the ASR Agreements, the Company paid $2.00 billion to the Dealers and received an initial delivery of 28,363,766 shares of the Company's common stock on November 26, 2024 at a price of $56.41 per share, representing approximately 80 percent of the aggregate purchase price. The total number of shares purchased by the Company pursuant to the ASR Agreements will be based on the volume-weighted average price of the Company's common stock on specified dates during the term of each of the ASR Agreements, less a discount, and subject to adjustments pursuant to the terms and conditions of the ASR Agreements. The final settlement of the transactions under the ASR Agreements is expected to occur no later than the first quarter of fiscal 2026. The ASR Agreements are accounted for as a share purchase transaction and forward stock purchase agreement indexed to our common stock. The shares received under the ASR Agreements reduced the number of ordinary shares outstanding as of December 28, 2024 by 28,363,766 shares initially purchased. Repurchased shares of common stock will become authorized but unissued shares. As of December 28, 2024 the Company had $800.0 million of additional shares available to be repurchased as authorized under the 2022 Share Repurchase Program and no remaining availability to repurchase shares under the 2025 Share Repurchase Program.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reconciliation of stockholders' equity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 /</w:t>
            </w: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26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1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126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2,277.8</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27"/>
        </w:trPr>
        <w:tc>
          <w:tcPr>
            <w:tcW w:w="294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auto"/>
              </w:rPr>
              <w:t>Shares issued, pursuant to stock-based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color w:val="auto"/>
              </w:rPr>
              <w:t>compensation arrangements, net of shares withheld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 taxes</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Dividends declared ($0.35 per share)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20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40" w:type="dxa"/>
            <w:vAlign w:val="bottom"/>
            <w:tcBorders>
              <w:top w:val="single" w:sz="8" w:color="CCEEFF"/>
            </w:tcBorders>
            <w:vMerge w:val="continue"/>
          </w:tcPr>
          <w:p>
            <w:pPr>
              <w:spacing w:after="0"/>
              <w:rPr>
                <w:sz w:val="12"/>
                <w:szCs w:val="12"/>
                <w:color w:val="auto"/>
              </w:rPr>
            </w:pPr>
          </w:p>
        </w:tc>
        <w:tc>
          <w:tcPr>
            <w:tcW w:w="10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322.3</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322.3</w:t>
            </w: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27"/>
        </w:trPr>
        <w:tc>
          <w:tcPr>
            <w:tcW w:w="294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auto"/>
              </w:rPr>
              <w:t>Shares issued, pursuant to stock-based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color w:val="auto"/>
              </w:rPr>
              <w:t>compensation arrangements, net of shares withheld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 taxes</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Dividends declared ($0.35 per share)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2,659.8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tcPr>
          <w:p>
            <w:pPr>
              <w:spacing w:after="0"/>
              <w:rPr>
                <w:sz w:val="24"/>
                <w:szCs w:val="2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 /</w:t>
            </w:r>
          </w:p>
        </w:tc>
        <w:tc>
          <w:tcPr>
            <w:tcW w:w="18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126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1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126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29,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2,896.9</w:t>
            </w:r>
          </w:p>
        </w:tc>
        <w:tc>
          <w:tcPr>
            <w:tcW w:w="0" w:type="dxa"/>
            <w:vAlign w:val="bottom"/>
          </w:tcPr>
          <w:p>
            <w:pPr>
              <w:spacing w:after="0"/>
              <w:rPr>
                <w:sz w:val="1"/>
                <w:szCs w:val="1"/>
                <w:color w:val="auto"/>
              </w:rPr>
            </w:pPr>
          </w:p>
        </w:tc>
      </w:tr>
      <w:tr>
        <w:trPr>
          <w:trHeight w:val="178"/>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186.6</w:t>
            </w: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0" w:type="dxa"/>
            <w:vAlign w:val="bottom"/>
          </w:tcPr>
          <w:p>
            <w:pPr>
              <w:spacing w:after="0"/>
              <w:rPr>
                <w:sz w:val="1"/>
                <w:szCs w:val="1"/>
                <w:color w:val="auto"/>
              </w:rPr>
            </w:pPr>
          </w:p>
        </w:tc>
      </w:tr>
      <w:tr>
        <w:trPr>
          <w:trHeight w:val="125"/>
        </w:trPr>
        <w:tc>
          <w:tcPr>
            <w:tcW w:w="2940" w:type="dxa"/>
            <w:vAlign w:val="bottom"/>
          </w:tcPr>
          <w:p>
            <w:pPr>
              <w:ind w:left="200"/>
              <w:spacing w:after="0" w:line="125" w:lineRule="exact"/>
              <w:rPr>
                <w:sz w:val="20"/>
                <w:szCs w:val="20"/>
                <w:color w:val="auto"/>
              </w:rPr>
            </w:pPr>
            <w:r>
              <w:rPr>
                <w:rFonts w:ascii="Times New Roman" w:cs="Times New Roman" w:eastAsia="Times New Roman" w:hAnsi="Times New Roman"/>
                <w:sz w:val="13"/>
                <w:szCs w:val="13"/>
                <w:b w:val="1"/>
                <w:bCs w:val="1"/>
                <w:color w:val="auto"/>
              </w:rPr>
              <w:t>Shares issued, pursuant to stock-based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0"/>
              <w:spacing w:after="0" w:line="133" w:lineRule="exact"/>
              <w:rPr>
                <w:sz w:val="20"/>
                <w:szCs w:val="20"/>
                <w:color w:val="auto"/>
              </w:rPr>
            </w:pPr>
            <w:r>
              <w:rPr>
                <w:rFonts w:ascii="Times New Roman" w:cs="Times New Roman" w:eastAsia="Times New Roman" w:hAnsi="Times New Roman"/>
                <w:sz w:val="13"/>
                <w:szCs w:val="13"/>
                <w:b w:val="1"/>
                <w:bCs w:val="1"/>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0" w:type="dxa"/>
            <w:vAlign w:val="bottom"/>
          </w:tcPr>
          <w:p>
            <w:pPr>
              <w:spacing w:after="0"/>
              <w:rPr>
                <w:sz w:val="1"/>
                <w:szCs w:val="1"/>
                <w:color w:val="auto"/>
              </w:rPr>
            </w:pPr>
          </w:p>
        </w:tc>
      </w:tr>
      <w:tr>
        <w:trPr>
          <w:trHeight w:val="178"/>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withheld for taxes</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c>
          <w:tcPr>
            <w:tcW w:w="0" w:type="dxa"/>
            <w:vAlign w:val="bottom"/>
          </w:tcPr>
          <w:p>
            <w:pPr>
              <w:spacing w:after="0"/>
              <w:rPr>
                <w:sz w:val="1"/>
                <w:szCs w:val="1"/>
                <w:color w:val="auto"/>
              </w:rPr>
            </w:pPr>
          </w:p>
        </w:tc>
      </w:tr>
      <w:tr>
        <w:trPr>
          <w:trHeight w:val="178"/>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Dividends declared ($0.35 per share)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c>
          <w:tcPr>
            <w:tcW w:w="0" w:type="dxa"/>
            <w:vAlign w:val="bottom"/>
          </w:tcPr>
          <w:p>
            <w:pPr>
              <w:spacing w:after="0"/>
              <w:rPr>
                <w:sz w:val="1"/>
                <w:szCs w:val="1"/>
                <w:color w:val="auto"/>
              </w:rPr>
            </w:pPr>
          </w:p>
        </w:tc>
      </w:tr>
      <w:tr>
        <w:trPr>
          <w:trHeight w:val="20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28,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2,981.9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40" w:type="dxa"/>
            <w:vAlign w:val="bottom"/>
            <w:tcBorders>
              <w:top w:val="single" w:sz="8" w:color="CCEEFF"/>
            </w:tcBorders>
            <w:vMerge w:val="continue"/>
          </w:tcPr>
          <w:p>
            <w:pPr>
              <w:spacing w:after="0"/>
              <w:rPr>
                <w:sz w:val="12"/>
                <w:szCs w:val="12"/>
                <w:color w:val="auto"/>
              </w:rPr>
            </w:pPr>
          </w:p>
        </w:tc>
        <w:tc>
          <w:tcPr>
            <w:tcW w:w="10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310.4</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310.4</w:t>
            </w: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w:t>
            </w:r>
          </w:p>
        </w:tc>
        <w:tc>
          <w:tcPr>
            <w:tcW w:w="0" w:type="dxa"/>
            <w:vAlign w:val="bottom"/>
          </w:tcPr>
          <w:p>
            <w:pPr>
              <w:spacing w:after="0"/>
              <w:rPr>
                <w:sz w:val="1"/>
                <w:szCs w:val="1"/>
                <w:color w:val="auto"/>
              </w:rPr>
            </w:pPr>
          </w:p>
        </w:tc>
      </w:tr>
      <w:tr>
        <w:trPr>
          <w:trHeight w:val="125"/>
        </w:trPr>
        <w:tc>
          <w:tcPr>
            <w:tcW w:w="2940" w:type="dxa"/>
            <w:vAlign w:val="bottom"/>
          </w:tcPr>
          <w:p>
            <w:pPr>
              <w:ind w:left="200"/>
              <w:spacing w:after="0" w:line="125" w:lineRule="exact"/>
              <w:rPr>
                <w:sz w:val="20"/>
                <w:szCs w:val="20"/>
                <w:color w:val="auto"/>
              </w:rPr>
            </w:pPr>
            <w:r>
              <w:rPr>
                <w:rFonts w:ascii="Times New Roman" w:cs="Times New Roman" w:eastAsia="Times New Roman" w:hAnsi="Times New Roman"/>
                <w:sz w:val="13"/>
                <w:szCs w:val="13"/>
                <w:b w:val="1"/>
                <w:bCs w:val="1"/>
                <w:color w:val="auto"/>
              </w:rPr>
              <w:t>Shares issued, pursuant to stock-based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0"/>
              <w:spacing w:after="0" w:line="133" w:lineRule="exact"/>
              <w:rPr>
                <w:sz w:val="20"/>
                <w:szCs w:val="20"/>
                <w:color w:val="auto"/>
              </w:rPr>
            </w:pPr>
            <w:r>
              <w:rPr>
                <w:rFonts w:ascii="Times New Roman" w:cs="Times New Roman" w:eastAsia="Times New Roman" w:hAnsi="Times New Roman"/>
                <w:sz w:val="13"/>
                <w:szCs w:val="13"/>
                <w:b w:val="1"/>
                <w:bCs w:val="1"/>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72.0</w:t>
            </w:r>
          </w:p>
        </w:tc>
        <w:tc>
          <w:tcPr>
            <w:tcW w:w="0" w:type="dxa"/>
            <w:vAlign w:val="bottom"/>
          </w:tcPr>
          <w:p>
            <w:pPr>
              <w:spacing w:after="0"/>
              <w:rPr>
                <w:sz w:val="1"/>
                <w:szCs w:val="1"/>
                <w:color w:val="auto"/>
              </w:rPr>
            </w:pPr>
          </w:p>
        </w:tc>
      </w:tr>
      <w:tr>
        <w:trPr>
          <w:trHeight w:val="178"/>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withheld for taxes</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w:t>
            </w:r>
          </w:p>
        </w:tc>
        <w:tc>
          <w:tcPr>
            <w:tcW w:w="0" w:type="dxa"/>
            <w:vAlign w:val="bottom"/>
          </w:tcPr>
          <w:p>
            <w:pPr>
              <w:spacing w:after="0"/>
              <w:rPr>
                <w:sz w:val="1"/>
                <w:szCs w:val="1"/>
                <w:color w:val="auto"/>
              </w:rPr>
            </w:pPr>
          </w:p>
        </w:tc>
      </w:tr>
      <w:tr>
        <w:trPr>
          <w:trHeight w:val="125"/>
        </w:trPr>
        <w:tc>
          <w:tcPr>
            <w:tcW w:w="2940" w:type="dxa"/>
            <w:vAlign w:val="bottom"/>
          </w:tcPr>
          <w:p>
            <w:pPr>
              <w:ind w:left="200"/>
              <w:spacing w:after="0" w:line="125" w:lineRule="exact"/>
              <w:rPr>
                <w:sz w:val="20"/>
                <w:szCs w:val="20"/>
                <w:color w:val="auto"/>
              </w:rPr>
            </w:pPr>
            <w:r>
              <w:rPr>
                <w:rFonts w:ascii="Times New Roman" w:cs="Times New Roman" w:eastAsia="Times New Roman" w:hAnsi="Times New Roman"/>
                <w:sz w:val="13"/>
                <w:szCs w:val="13"/>
                <w:b w:val="1"/>
                <w:bCs w:val="1"/>
                <w:color w:val="auto"/>
              </w:rPr>
              <w:t>Repurchase of common stock, including excise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(28.4)</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(1,612.8)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(2,013.0)</w:t>
            </w:r>
          </w:p>
        </w:tc>
        <w:tc>
          <w:tcPr>
            <w:tcW w:w="0" w:type="dxa"/>
            <w:vAlign w:val="bottom"/>
          </w:tcPr>
          <w:p>
            <w:pPr>
              <w:spacing w:after="0"/>
              <w:rPr>
                <w:sz w:val="1"/>
                <w:szCs w:val="1"/>
                <w:color w:val="auto"/>
              </w:rPr>
            </w:pPr>
          </w:p>
        </w:tc>
      </w:tr>
      <w:tr>
        <w:trPr>
          <w:trHeight w:val="177"/>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tax</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Dividends declared ($0.35 per share)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w:t>
            </w:r>
          </w:p>
        </w:tc>
        <w:tc>
          <w:tcPr>
            <w:tcW w:w="0" w:type="dxa"/>
            <w:vAlign w:val="bottom"/>
          </w:tcPr>
          <w:p>
            <w:pPr>
              <w:spacing w:after="0"/>
              <w:rPr>
                <w:sz w:val="1"/>
                <w:szCs w:val="1"/>
                <w:color w:val="auto"/>
              </w:rPr>
            </w:pPr>
          </w:p>
        </w:tc>
      </w:tr>
      <w:tr>
        <w:trPr>
          <w:trHeight w:val="182"/>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206.9</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3,482.8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(1,991.8)</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1,336.5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accumulated other comprehensive income (loss) ("AOCI"), as of the dates indicated, are as follows:</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6"/>
                <w:szCs w:val="16"/>
                <w:b w:val="1"/>
                <w:bCs w:val="1"/>
                <w:color w:val="auto"/>
              </w:rPr>
              <w:t>(Losses) on Cash</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Flow</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8"/>
              </w:rPr>
              <w:t>on Available-</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for-Sale</w:t>
            </w:r>
          </w:p>
        </w:tc>
        <w:tc>
          <w:tcPr>
            <w:tcW w:w="160" w:type="dxa"/>
            <w:vAlign w:val="bottom"/>
          </w:tcPr>
          <w:p>
            <w:pPr>
              <w:spacing w:after="0"/>
              <w:rPr>
                <w:sz w:val="13"/>
                <w:szCs w:val="13"/>
                <w:color w:val="auto"/>
              </w:rPr>
            </w:pPr>
          </w:p>
        </w:tc>
        <w:tc>
          <w:tcPr>
            <w:tcW w:w="13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40" w:type="dxa"/>
            <w:vAlign w:val="bottom"/>
          </w:tcPr>
          <w:p>
            <w:pPr>
              <w:spacing w:after="0"/>
              <w:rPr>
                <w:sz w:val="13"/>
                <w:szCs w:val="13"/>
                <w:color w:val="auto"/>
              </w:rPr>
            </w:pPr>
          </w:p>
        </w:tc>
        <w:tc>
          <w:tcPr>
            <w:tcW w:w="86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00"/>
              <w:spacing w:after="0" w:line="221" w:lineRule="exact"/>
              <w:rPr>
                <w:sz w:val="20"/>
                <w:szCs w:val="20"/>
                <w:color w:val="auto"/>
              </w:rPr>
            </w:pPr>
            <w:r>
              <w:rPr>
                <w:rFonts w:ascii="Times New Roman" w:cs="Times New Roman" w:eastAsia="Times New Roman" w:hAnsi="Times New Roman"/>
                <w:sz w:val="16"/>
                <w:szCs w:val="16"/>
                <w:b w:val="1"/>
                <w:bCs w:val="1"/>
                <w:color w:val="auto"/>
                <w:w w:val="98"/>
              </w:rPr>
              <w:t>Derivatives</w:t>
            </w:r>
            <w:r>
              <w:rPr>
                <w:rFonts w:ascii="Times New Roman" w:cs="Times New Roman" w:eastAsia="Times New Roman" w:hAnsi="Times New Roman"/>
                <w:sz w:val="21"/>
                <w:szCs w:val="21"/>
                <w:b w:val="1"/>
                <w:bCs w:val="1"/>
                <w:color w:val="auto"/>
                <w:w w:val="98"/>
                <w:vertAlign w:val="superscript"/>
              </w:rPr>
              <w:t>(1)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40"/>
              <w:spacing w:after="0" w:line="221" w:lineRule="exact"/>
              <w:rPr>
                <w:sz w:val="20"/>
                <w:szCs w:val="20"/>
                <w:color w:val="auto"/>
              </w:rPr>
            </w:pPr>
            <w:r>
              <w:rPr>
                <w:rFonts w:ascii="Times New Roman" w:cs="Times New Roman" w:eastAsia="Times New Roman" w:hAnsi="Times New Roman"/>
                <w:sz w:val="16"/>
                <w:szCs w:val="16"/>
                <w:b w:val="1"/>
                <w:bCs w:val="1"/>
                <w:color w:val="auto"/>
                <w:w w:val="96"/>
              </w:rPr>
              <w:t>Adjustment</w:t>
            </w:r>
            <w:r>
              <w:rPr>
                <w:rFonts w:ascii="Times New Roman" w:cs="Times New Roman" w:eastAsia="Times New Roman" w:hAnsi="Times New Roman"/>
                <w:sz w:val="21"/>
                <w:szCs w:val="21"/>
                <w:b w:val="1"/>
                <w:bCs w:val="1"/>
                <w:color w:val="auto"/>
                <w:w w:val="96"/>
                <w:vertAlign w:val="superscript"/>
              </w:rPr>
              <w:t>(2)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09"/>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160"/>
        </w:trPr>
        <w:tc>
          <w:tcPr>
            <w:tcW w:w="5620" w:type="dxa"/>
            <w:vAlign w:val="bottom"/>
            <w:gridSpan w:val="2"/>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Less: amounts reclassified from accumulated other comprehensive income to</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1"/>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29,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(145.9)</w:t>
            </w:r>
          </w:p>
        </w:tc>
        <w:tc>
          <w:tcPr>
            <w:tcW w:w="0" w:type="dxa"/>
            <w:vAlign w:val="bottom"/>
          </w:tcPr>
          <w:p>
            <w:pPr>
              <w:spacing w:after="0"/>
              <w:rPr>
                <w:sz w:val="1"/>
                <w:szCs w:val="1"/>
                <w:color w:val="auto"/>
              </w:rPr>
            </w:pPr>
          </w:p>
        </w:tc>
      </w:tr>
      <w:tr>
        <w:trPr>
          <w:trHeight w:val="209"/>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Other comprehensive income (loss) before reclassifications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0" w:type="dxa"/>
            <w:vAlign w:val="bottom"/>
          </w:tcPr>
          <w:p>
            <w:pPr>
              <w:spacing w:after="0"/>
              <w:rPr>
                <w:sz w:val="1"/>
                <w:szCs w:val="1"/>
                <w:color w:val="auto"/>
              </w:rPr>
            </w:pPr>
          </w:p>
        </w:tc>
      </w:tr>
      <w:tr>
        <w:trPr>
          <w:trHeight w:val="160"/>
        </w:trPr>
        <w:tc>
          <w:tcPr>
            <w:tcW w:w="5620" w:type="dxa"/>
            <w:vAlign w:val="bottom"/>
            <w:gridSpan w:val="2"/>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b w:val="1"/>
                <w:bCs w:val="1"/>
                <w:color w:val="auto"/>
              </w:rPr>
              <w:t>Less: amounts reclassified from accumulated other comprehensive income</w:t>
            </w: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w:t>
            </w:r>
          </w:p>
        </w:tc>
        <w:tc>
          <w:tcPr>
            <w:tcW w:w="0" w:type="dxa"/>
            <w:vAlign w:val="bottom"/>
          </w:tcPr>
          <w:p>
            <w:pPr>
              <w:spacing w:after="0"/>
              <w:rPr>
                <w:sz w:val="1"/>
                <w:szCs w:val="1"/>
                <w:color w:val="auto"/>
              </w:rPr>
            </w:pPr>
          </w:p>
        </w:tc>
      </w:tr>
      <w:tr>
        <w:trPr>
          <w:trHeight w:val="221"/>
        </w:trPr>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 earnings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current-period other comprehensive income (loss)</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28,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02" w:right="20" w:hanging="302"/>
        <w:spacing w:after="0" w:line="231" w:lineRule="auto"/>
        <w:tabs>
          <w:tab w:leader="none" w:pos="33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ending balances of AOCI related to cash flow hedges are net of tax of $(1.2) million and $(3.0) million as of December 28, 2024 and December 30, 2023, respectively. The amounts reclassified from AOCI are net of tax of $(1.1) million and $2.4 million as of December 28, 2024 and December 30, 2023, respectively.</w:t>
      </w:r>
    </w:p>
    <w:p>
      <w:pPr>
        <w:spacing w:after="0" w:line="81" w:lineRule="exact"/>
        <w:rPr>
          <w:rFonts w:ascii="Times New Roman" w:cs="Times New Roman" w:eastAsia="Times New Roman" w:hAnsi="Times New Roman"/>
          <w:sz w:val="21"/>
          <w:szCs w:val="21"/>
          <w:color w:val="auto"/>
          <w:vertAlign w:val="superscript"/>
        </w:rPr>
      </w:pPr>
    </w:p>
    <w:p>
      <w:pPr>
        <w:jc w:val="both"/>
        <w:ind w:left="302" w:right="20" w:hanging="302"/>
        <w:spacing w:after="0" w:line="238" w:lineRule="auto"/>
        <w:tabs>
          <w:tab w:leader="none" w:pos="274"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ending balances of AOCI related to the fair values of instruments designated as hedges of the Company's net investment in certain foreign operations as included in foreign currency translation adjustments are a gain of $10.5 million, net of tax of $(8.6) million, and a loss of $49.4 million, net of tax of $11.4 million, as of December 28, 2024 and December 30, 2023, respectively.</w:t>
      </w:r>
    </w:p>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8. DERIVATIVE INSTRUMENTS AND HEDGING ACTIVITIES</w:t>
      </w:r>
    </w:p>
    <w:p>
      <w:pPr>
        <w:spacing w:after="0" w:line="114"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66"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The Company records all derivative contracts at fair value on the Condensed Consolidated Balance Sheet.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55" w:lineRule="exact"/>
        <w:rPr>
          <w:sz w:val="20"/>
          <w:szCs w:val="20"/>
          <w:color w:val="auto"/>
        </w:rPr>
      </w:pPr>
    </w:p>
    <w:p>
      <w:pPr>
        <w:jc w:val="both"/>
        <w:ind w:left="2" w:right="20" w:firstLine="294"/>
        <w:spacing w:after="0" w:line="275" w:lineRule="auto"/>
        <w:rPr>
          <w:sz w:val="20"/>
          <w:szCs w:val="20"/>
          <w:color w:val="auto"/>
        </w:rPr>
      </w:pPr>
      <w:r>
        <w:rPr>
          <w:rFonts w:ascii="Times New Roman" w:cs="Times New Roman" w:eastAsia="Times New Roman" w:hAnsi="Times New Roman"/>
          <w:sz w:val="16"/>
          <w:szCs w:val="16"/>
          <w:color w:val="auto"/>
        </w:rPr>
        <w:t>For cash flow derivative instruments that qualify for hedge accounting, the changes in the fair value of these instruments are recognized as a component of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55" w:lineRule="exact"/>
        <w:rPr>
          <w:sz w:val="20"/>
          <w:szCs w:val="20"/>
          <w:color w:val="auto"/>
        </w:rPr>
      </w:pPr>
    </w:p>
    <w:p>
      <w:pPr>
        <w:jc w:val="both"/>
        <w:ind w:left="2" w:right="20" w:firstLine="294"/>
        <w:spacing w:after="0" w:line="294" w:lineRule="auto"/>
        <w:rPr>
          <w:sz w:val="20"/>
          <w:szCs w:val="20"/>
          <w:color w:val="auto"/>
        </w:rPr>
      </w:pPr>
      <w:r>
        <w:rPr>
          <w:rFonts w:ascii="Times New Roman" w:cs="Times New Roman" w:eastAsia="Times New Roman" w:hAnsi="Times New Roman"/>
          <w:sz w:val="16"/>
          <w:szCs w:val="16"/>
          <w:color w:val="auto"/>
        </w:rPr>
        <w:t>Each derivative instrument entered into by the Company that qualifies for hedge accounting is expected to be highly effective at reducing the risk associated with the exposure being hedged. For each derivative that is designated as a hedge, the</w:t>
      </w:r>
    </w:p>
    <w:p>
      <w:pPr>
        <w:spacing w:after="0" w:line="200" w:lineRule="exact"/>
        <w:rPr>
          <w:sz w:val="20"/>
          <w:szCs w:val="20"/>
          <w:color w:val="auto"/>
        </w:rPr>
      </w:pPr>
    </w:p>
    <w:p>
      <w:pPr>
        <w:spacing w:after="0" w:line="28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2"/>
          </w:cols>
          <w:pgMar w:left="318" w:top="119"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55"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or interest income (expense).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 within foreign currency gains (losses) or interest income (expense).</w:t>
      </w:r>
    </w:p>
    <w:p>
      <w:pPr>
        <w:spacing w:after="0" w:line="6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4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fair values of the Company’s derivative instruments are recorded on its Condensed Consolidated Balance Sheet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Hedging Portfolio</w:t>
      </w:r>
    </w:p>
    <w:p>
      <w:pPr>
        <w:spacing w:after="0" w:line="114"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Euro. To the extent its derivative contracts designated as cash flow hedges are highly effective in offsetting changes in the value of the hedged items, the related gains (losses) are initially deferred in AOCI and subsequently recognized in the Condensed Consolidated Statements of Operations as part of the cost of the inventory purchases being hedged within Cost of sales, when the related inventory is sold to a third-party. Current maturity dates range from January 2025 to September 2026.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December 28, 2024 range from January 2025 to March 2025, and such contracts are typically renewed upon maturity if the related balance has not been settled.</w:t>
      </w:r>
    </w:p>
    <w:p>
      <w:pPr>
        <w:spacing w:after="0" w:line="6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tables provide information related to the Company's derivative instruments recorded on the Company's Condensed Consolidated Balance Sheets as of</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December 28, 2024 and June 29, 2024:</w:t>
      </w:r>
    </w:p>
    <w:p>
      <w:pPr>
        <w:spacing w:after="0" w:line="126"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Value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78"/>
              <w:spacing w:after="0" w:line="168" w:lineRule="exact"/>
              <w:rPr>
                <w:sz w:val="20"/>
                <w:szCs w:val="20"/>
                <w:color w:val="auto"/>
              </w:rPr>
            </w:pPr>
            <w:r>
              <w:rPr>
                <w:rFonts w:ascii="Times New Roman" w:cs="Times New Roman" w:eastAsia="Times New Roman" w:hAnsi="Times New Roman"/>
                <w:sz w:val="16"/>
                <w:szCs w:val="16"/>
                <w:color w:val="auto"/>
              </w:rPr>
              <w:t>Consolidated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Consolidated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78"/>
              <w:spacing w:after="0"/>
              <w:rPr>
                <w:sz w:val="20"/>
                <w:szCs w:val="20"/>
                <w:color w:val="auto"/>
              </w:rPr>
            </w:pPr>
            <w:r>
              <w:rPr>
                <w:rFonts w:ascii="Times New Roman" w:cs="Times New Roman" w:eastAsia="Times New Roman" w:hAnsi="Times New Roman"/>
                <w:sz w:val="16"/>
                <w:szCs w:val="16"/>
                <w:color w:val="auto"/>
              </w:rPr>
              <w:t>Balance Sheet</w:t>
            </w:r>
          </w:p>
        </w:tc>
        <w:tc>
          <w:tcPr>
            <w:tcW w:w="26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Balance Sheet</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June 29, 2024</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6"/>
                <w:szCs w:val="16"/>
                <w:color w:val="auto"/>
              </w:rPr>
              <w:t>Classification</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June 29, 2024</w:t>
            </w: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Classification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June 29, 2024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Designated hedge instruments:</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56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FC - Inventory</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78"/>
              <w:spacing w:after="0" w:line="172" w:lineRule="exact"/>
              <w:rPr>
                <w:sz w:val="20"/>
                <w:szCs w:val="20"/>
                <w:color w:val="auto"/>
              </w:rPr>
            </w:pPr>
            <w:r>
              <w:rPr>
                <w:rFonts w:ascii="Times New Roman" w:cs="Times New Roman" w:eastAsia="Times New Roman" w:hAnsi="Times New Roman"/>
                <w:sz w:val="16"/>
                <w:szCs w:val="16"/>
                <w:color w:val="auto"/>
              </w:rPr>
              <w:t>Other Current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w:t>
            </w:r>
            <w:r>
              <w:rPr>
                <w:rFonts w:ascii="Times New Roman" w:cs="Times New Roman" w:eastAsia="Times New Roman" w:hAnsi="Times New Roman"/>
                <w:sz w:val="21"/>
                <w:szCs w:val="21"/>
                <w:color w:val="auto"/>
                <w:vertAlign w:val="superscript"/>
              </w:rPr>
              <w:t>(1)</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694.5</w:t>
            </w:r>
          </w:p>
        </w:tc>
        <w:tc>
          <w:tcPr>
            <w:tcW w:w="80" w:type="dxa"/>
            <w:vAlign w:val="bottom"/>
          </w:tcPr>
          <w:p>
            <w:pPr>
              <w:spacing w:after="0"/>
              <w:rPr>
                <w:sz w:val="21"/>
                <w:szCs w:val="21"/>
                <w:color w:val="auto"/>
              </w:rPr>
            </w:pPr>
          </w:p>
        </w:tc>
        <w:tc>
          <w:tcPr>
            <w:tcW w:w="4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100" w:type="dxa"/>
            <w:vAlign w:val="bottom"/>
          </w:tcPr>
          <w:p>
            <w:pPr>
              <w:spacing w:after="0"/>
              <w:rPr>
                <w:sz w:val="21"/>
                <w:szCs w:val="21"/>
                <w:color w:val="auto"/>
              </w:rPr>
            </w:pPr>
          </w:p>
        </w:tc>
        <w:tc>
          <w:tcPr>
            <w:tcW w:w="1180" w:type="dxa"/>
            <w:vAlign w:val="bottom"/>
          </w:tcPr>
          <w:p>
            <w:pPr>
              <w:jc w:val="center"/>
              <w:ind w:left="78"/>
              <w:spacing w:after="0"/>
              <w:rPr>
                <w:sz w:val="20"/>
                <w:szCs w:val="20"/>
                <w:color w:val="auto"/>
              </w:rPr>
            </w:pPr>
            <w:r>
              <w:rPr>
                <w:rFonts w:ascii="Times New Roman" w:cs="Times New Roman" w:eastAsia="Times New Roman" w:hAnsi="Times New Roman"/>
                <w:sz w:val="16"/>
                <w:szCs w:val="16"/>
                <w:color w:val="auto"/>
              </w:rPr>
              <w:t>Assets</w:t>
            </w: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80" w:type="dxa"/>
            <w:vAlign w:val="bottom"/>
          </w:tcPr>
          <w:p>
            <w:pPr>
              <w:spacing w:after="0"/>
              <w:rPr>
                <w:sz w:val="21"/>
                <w:szCs w:val="21"/>
                <w:color w:val="auto"/>
              </w:rPr>
            </w:pPr>
          </w:p>
        </w:tc>
        <w:tc>
          <w:tcPr>
            <w:tcW w:w="5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80" w:type="dxa"/>
            <w:vAlign w:val="bottom"/>
          </w:tcPr>
          <w:p>
            <w:pPr>
              <w:spacing w:after="0"/>
              <w:rPr>
                <w:sz w:val="21"/>
                <w:szCs w:val="21"/>
                <w:color w:val="auto"/>
              </w:rPr>
            </w:pPr>
          </w:p>
        </w:tc>
        <w:tc>
          <w:tcPr>
            <w:tcW w:w="4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78"/>
              <w:spacing w:after="0" w:line="180" w:lineRule="exact"/>
              <w:rPr>
                <w:sz w:val="20"/>
                <w:szCs w:val="20"/>
                <w:color w:val="auto"/>
              </w:rPr>
            </w:pPr>
            <w:r>
              <w:rPr>
                <w:rFonts w:ascii="Times New Roman" w:cs="Times New Roman" w:eastAsia="Times New Roman" w:hAnsi="Times New Roman"/>
                <w:sz w:val="16"/>
                <w:szCs w:val="16"/>
                <w:color w:val="auto"/>
              </w:rPr>
              <w:t>Other Current</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center"/>
              <w:ind w:left="78"/>
              <w:spacing w:after="0" w:line="164" w:lineRule="exact"/>
              <w:rPr>
                <w:sz w:val="20"/>
                <w:szCs w:val="20"/>
                <w:color w:val="auto"/>
              </w:rPr>
            </w:pPr>
            <w:r>
              <w:rPr>
                <w:rFonts w:ascii="Times New Roman" w:cs="Times New Roman" w:eastAsia="Times New Roman" w:hAnsi="Times New Roman"/>
                <w:sz w:val="16"/>
                <w:szCs w:val="16"/>
                <w:color w:val="auto"/>
              </w:rPr>
              <w:t>Assets &amp; Other</w:t>
            </w: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&amp; Other</w:t>
            </w: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560" w:type="dxa"/>
            <w:vAlign w:val="bottom"/>
            <w:shd w:val="clear" w:color="auto" w:fill="CCEEFF"/>
          </w:tcPr>
          <w:p>
            <w:pPr>
              <w:ind w:left="460"/>
              <w:spacing w:after="0" w:line="70" w:lineRule="exact"/>
              <w:rPr>
                <w:sz w:val="20"/>
                <w:szCs w:val="20"/>
                <w:color w:val="auto"/>
              </w:rPr>
            </w:pPr>
            <w:r>
              <w:rPr>
                <w:rFonts w:ascii="Times New Roman" w:cs="Times New Roman" w:eastAsia="Times New Roman" w:hAnsi="Times New Roman"/>
                <w:sz w:val="7"/>
                <w:szCs w:val="7"/>
                <w:color w:val="auto"/>
              </w:rPr>
              <w:t>(2)</w:t>
            </w:r>
          </w:p>
        </w:tc>
        <w:tc>
          <w:tcPr>
            <w:tcW w:w="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1,590.0</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6"/>
                <w:szCs w:val="16"/>
                <w:color w:val="auto"/>
                <w:w w:val="92"/>
              </w:rPr>
              <w:t>Assets</w:t>
            </w:r>
            <w:r>
              <w:rPr>
                <w:rFonts w:ascii="Times New Roman" w:cs="Times New Roman" w:eastAsia="Times New Roman" w:hAnsi="Times New Roman"/>
                <w:sz w:val="21"/>
                <w:szCs w:val="21"/>
                <w:color w:val="auto"/>
                <w:w w:val="92"/>
                <w:vertAlign w:val="superscript"/>
              </w:rPr>
              <w:t>(4)</w:t>
            </w:r>
          </w:p>
        </w:tc>
        <w:tc>
          <w:tcPr>
            <w:tcW w:w="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Liabilities</w:t>
            </w:r>
            <w:r>
              <w:rPr>
                <w:rFonts w:ascii="Times New Roman" w:cs="Times New Roman" w:eastAsia="Times New Roman" w:hAnsi="Times New Roman"/>
                <w:sz w:val="21"/>
                <w:szCs w:val="21"/>
                <w:color w:val="auto"/>
                <w:w w:val="98"/>
                <w:vertAlign w:val="superscript"/>
              </w:rPr>
              <w:t>(5)</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560" w:type="dxa"/>
            <w:vAlign w:val="bottom"/>
          </w:tcPr>
          <w:p>
            <w:pPr>
              <w:ind w:left="100"/>
              <w:spacing w:after="0" w:line="139" w:lineRule="exact"/>
              <w:rPr>
                <w:sz w:val="20"/>
                <w:szCs w:val="20"/>
                <w:color w:val="auto"/>
              </w:rPr>
            </w:pPr>
            <w:r>
              <w:rPr>
                <w:rFonts w:ascii="Times New Roman" w:cs="Times New Roman" w:eastAsia="Times New Roman" w:hAnsi="Times New Roman"/>
                <w:sz w:val="16"/>
                <w:szCs w:val="16"/>
                <w:b w:val="1"/>
                <w:bCs w:val="1"/>
                <w:color w:val="auto"/>
              </w:rPr>
              <w:t>Total designated</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2,284.5</w:t>
            </w:r>
          </w:p>
        </w:tc>
        <w:tc>
          <w:tcPr>
            <w:tcW w:w="80" w:type="dxa"/>
            <w:vAlign w:val="bottom"/>
          </w:tcPr>
          <w:p>
            <w:pPr>
              <w:spacing w:after="0"/>
              <w:rPr>
                <w:sz w:val="12"/>
                <w:szCs w:val="12"/>
                <w:color w:val="auto"/>
              </w:rPr>
            </w:pPr>
          </w:p>
        </w:tc>
        <w:tc>
          <w:tcPr>
            <w:tcW w:w="46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2,214.6</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75.8</w:t>
            </w:r>
          </w:p>
        </w:tc>
        <w:tc>
          <w:tcPr>
            <w:tcW w:w="80" w:type="dxa"/>
            <w:vAlign w:val="bottom"/>
          </w:tcPr>
          <w:p>
            <w:pPr>
              <w:spacing w:after="0"/>
              <w:rPr>
                <w:sz w:val="12"/>
                <w:szCs w:val="12"/>
                <w:color w:val="auto"/>
              </w:rPr>
            </w:pPr>
          </w:p>
        </w:tc>
        <w:tc>
          <w:tcPr>
            <w:tcW w:w="500" w:type="dxa"/>
            <w:vAlign w:val="bottom"/>
            <w:vMerge w:val="restart"/>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134.4</w:t>
            </w:r>
          </w:p>
        </w:tc>
        <w:tc>
          <w:tcPr>
            <w:tcW w:w="80" w:type="dxa"/>
            <w:vAlign w:val="bottom"/>
          </w:tcPr>
          <w:p>
            <w:pPr>
              <w:spacing w:after="0"/>
              <w:rPr>
                <w:sz w:val="12"/>
                <w:szCs w:val="12"/>
                <w:color w:val="auto"/>
              </w:rPr>
            </w:pPr>
          </w:p>
        </w:tc>
        <w:tc>
          <w:tcPr>
            <w:tcW w:w="46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hedge instruments</w:t>
            </w:r>
          </w:p>
        </w:tc>
        <w:tc>
          <w:tcPr>
            <w:tcW w:w="2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15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Undesignated hedging</w:t>
            </w:r>
          </w:p>
        </w:tc>
        <w:tc>
          <w:tcPr>
            <w:tcW w:w="1080" w:type="dxa"/>
            <w:vAlign w:val="bottom"/>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56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FC - Intercompany</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78"/>
              <w:spacing w:after="0" w:line="172" w:lineRule="exact"/>
              <w:rPr>
                <w:sz w:val="20"/>
                <w:szCs w:val="20"/>
                <w:color w:val="auto"/>
              </w:rPr>
            </w:pPr>
            <w:r>
              <w:rPr>
                <w:rFonts w:ascii="Times New Roman" w:cs="Times New Roman" w:eastAsia="Times New Roman" w:hAnsi="Times New Roman"/>
                <w:sz w:val="16"/>
                <w:szCs w:val="16"/>
                <w:color w:val="auto"/>
              </w:rPr>
              <w:t>Other Current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560" w:type="dxa"/>
            <w:vAlign w:val="bottom"/>
          </w:tcPr>
          <w:p>
            <w:pPr>
              <w:ind w:left="20"/>
              <w:spacing w:after="0" w:line="221" w:lineRule="exact"/>
              <w:rPr>
                <w:sz w:val="20"/>
                <w:szCs w:val="20"/>
                <w:color w:val="auto"/>
              </w:rPr>
            </w:pPr>
            <w:r>
              <w:rPr>
                <w:rFonts w:ascii="Times New Roman" w:cs="Times New Roman" w:eastAsia="Times New Roman" w:hAnsi="Times New Roman"/>
                <w:sz w:val="16"/>
                <w:szCs w:val="16"/>
                <w:color w:val="auto"/>
              </w:rPr>
              <w:t>liabilities and loans</w:t>
            </w:r>
            <w:r>
              <w:rPr>
                <w:rFonts w:ascii="Times New Roman" w:cs="Times New Roman" w:eastAsia="Times New Roman" w:hAnsi="Times New Roman"/>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224.2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Pr>
          <w:p>
            <w:pPr>
              <w:spacing w:after="0"/>
              <w:rPr>
                <w:sz w:val="19"/>
                <w:szCs w:val="19"/>
                <w:color w:val="auto"/>
              </w:rPr>
            </w:pPr>
          </w:p>
        </w:tc>
        <w:tc>
          <w:tcPr>
            <w:tcW w:w="1180" w:type="dxa"/>
            <w:vAlign w:val="bottom"/>
          </w:tcPr>
          <w:p>
            <w:pPr>
              <w:jc w:val="center"/>
              <w:ind w:left="78"/>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Hedges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2,508.7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2,562.8</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82" w:hanging="282"/>
        <w:spacing w:after="0"/>
        <w:tabs>
          <w:tab w:leader="none" w:pos="28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forward foreign currency exchange contracts ("FC") designated as derivative instruments in cash flow hedging relationships.</w:t>
      </w:r>
    </w:p>
    <w:p>
      <w:pPr>
        <w:spacing w:after="0" w:line="80" w:lineRule="exact"/>
        <w:rPr>
          <w:rFonts w:ascii="Times New Roman" w:cs="Times New Roman" w:eastAsia="Times New Roman" w:hAnsi="Times New Roman"/>
          <w:sz w:val="21"/>
          <w:szCs w:val="21"/>
          <w:color w:val="auto"/>
          <w:vertAlign w:val="superscript"/>
        </w:rPr>
      </w:pPr>
    </w:p>
    <w:p>
      <w:pPr>
        <w:ind w:left="302" w:hanging="302"/>
        <w:spacing w:after="0" w:line="231" w:lineRule="auto"/>
        <w:tabs>
          <w:tab w:leader="none" w:pos="291"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cross currency swap foreign exchange contracts ("CCS") and forward foreign exchange contracts ("FC") designated as derivative instruments in net investment hedging relationships.</w:t>
      </w:r>
    </w:p>
    <w:p>
      <w:pPr>
        <w:spacing w:after="0" w:line="53" w:lineRule="exact"/>
        <w:rPr>
          <w:rFonts w:ascii="Times New Roman" w:cs="Times New Roman" w:eastAsia="Times New Roman" w:hAnsi="Times New Roman"/>
          <w:sz w:val="21"/>
          <w:szCs w:val="21"/>
          <w:color w:val="auto"/>
          <w:vertAlign w:val="superscript"/>
        </w:rPr>
      </w:pPr>
    </w:p>
    <w:p>
      <w:pPr>
        <w:ind w:left="282" w:hanging="282"/>
        <w:spacing w:after="0"/>
        <w:tabs>
          <w:tab w:leader="none" w:pos="28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forward foreign currency exchange contracts ("FC") not designated as hedges.</w:t>
      </w:r>
    </w:p>
    <w:p>
      <w:pPr>
        <w:spacing w:after="0" w:line="80" w:lineRule="exact"/>
        <w:rPr>
          <w:rFonts w:ascii="Times New Roman" w:cs="Times New Roman" w:eastAsia="Times New Roman" w:hAnsi="Times New Roman"/>
          <w:sz w:val="21"/>
          <w:szCs w:val="21"/>
          <w:color w:val="auto"/>
          <w:vertAlign w:val="superscript"/>
        </w:rPr>
      </w:pPr>
    </w:p>
    <w:p>
      <w:pPr>
        <w:ind w:left="302" w:hanging="302"/>
        <w:spacing w:after="0" w:line="231" w:lineRule="auto"/>
        <w:tabs>
          <w:tab w:leader="none" w:pos="291"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28, 2024, the Company recorded $14.5 million within Other Current Assets and $19.1 million within Other Assets. As of June 29, 2024, the Company recorded $11.6 million within Other Current Assets and $20.6 million within Other Assets.</w:t>
      </w:r>
    </w:p>
    <w:p>
      <w:pPr>
        <w:spacing w:after="0" w:line="81" w:lineRule="exact"/>
        <w:rPr>
          <w:rFonts w:ascii="Times New Roman" w:cs="Times New Roman" w:eastAsia="Times New Roman" w:hAnsi="Times New Roman"/>
          <w:sz w:val="21"/>
          <w:szCs w:val="21"/>
          <w:color w:val="auto"/>
          <w:vertAlign w:val="superscript"/>
        </w:rPr>
      </w:pPr>
    </w:p>
    <w:p>
      <w:pPr>
        <w:ind w:left="302" w:hanging="302"/>
        <w:spacing w:after="0" w:line="231" w:lineRule="auto"/>
        <w:tabs>
          <w:tab w:leader="none" w:pos="291"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28, 2024, the Company recorded $1.6 million within Accrued Liabilities and $128.2 million within Other Liabilities. As of June 29, 2024, the Company recorded $2.2 million within Accrued Liabilities and $137.2 million within Other Liabilities.</w:t>
      </w: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18" w:name="page19"/>
    <w:bookmarkEnd w:id="1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 w:right="220" w:firstLine="294"/>
        <w:spacing w:after="0" w:line="294" w:lineRule="auto"/>
        <w:rPr>
          <w:sz w:val="20"/>
          <w:szCs w:val="20"/>
          <w:color w:val="auto"/>
        </w:rPr>
      </w:pPr>
      <w:r>
        <w:rPr>
          <w:rFonts w:ascii="Times New Roman" w:cs="Times New Roman" w:eastAsia="Times New Roman" w:hAnsi="Times New Roman"/>
          <w:sz w:val="16"/>
          <w:szCs w:val="16"/>
          <w:color w:val="auto"/>
        </w:rPr>
        <w:t>The following tables provides the pretax impact of gains and losses from the Company's designated derivative instruments on its Condensed Consolidated Financial Statements as of December 28, 2024 and December 30, 2023:</w:t>
      </w:r>
    </w:p>
    <w:p>
      <w:pPr>
        <w:spacing w:after="0" w:line="73"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6"/>
          <w:szCs w:val="16"/>
          <w:b w:val="1"/>
          <w:bCs w:val="1"/>
          <w:color w:val="auto"/>
        </w:rPr>
        <w:t>Amount of Gain (Loss) Recognized in OCI on</w:t>
      </w:r>
    </w:p>
    <w:p>
      <w:pPr>
        <w:spacing w:after="0" w:line="22"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6"/>
          <w:szCs w:val="16"/>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22225</wp:posOffset>
            </wp:positionV>
            <wp:extent cx="248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5390" cy="7620"/>
                    </a:xfrm>
                    <a:prstGeom prst="rect">
                      <a:avLst/>
                    </a:prstGeom>
                    <a:noFill/>
                  </pic:spPr>
                </pic:pic>
              </a:graphicData>
            </a:graphic>
          </wp:anchor>
        </w:drawing>
      </w:r>
    </w:p>
    <w:p>
      <w:pPr>
        <w:spacing w:after="0" w:line="19" w:lineRule="exact"/>
        <w:rPr>
          <w:sz w:val="20"/>
          <w:szCs w:val="20"/>
          <w:color w:val="auto"/>
        </w:rPr>
      </w:pPr>
    </w:p>
    <w:p>
      <w:pPr>
        <w:ind w:left="8582"/>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7"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7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Inventory purchases</w:t>
            </w:r>
            <w:r>
              <w:rPr>
                <w:rFonts w:ascii="Times New Roman" w:cs="Times New Roman" w:eastAsia="Times New Roman" w:hAnsi="Times New Roman"/>
                <w:sz w:val="21"/>
                <w:szCs w:val="21"/>
                <w:color w:val="auto"/>
                <w:vertAlign w:val="superscript"/>
              </w:rPr>
              <w:t>(1)</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8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Interest rates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76"/>
        </w:trPr>
        <w:tc>
          <w:tcPr>
            <w:tcW w:w="7260" w:type="dxa"/>
            <w:vAlign w:val="bottom"/>
          </w:tcPr>
          <w:p>
            <w:pPr>
              <w:ind w:left="220"/>
              <w:spacing w:after="0" w:line="177" w:lineRule="exact"/>
              <w:rPr>
                <w:sz w:val="20"/>
                <w:szCs w:val="20"/>
                <w:color w:val="auto"/>
              </w:rPr>
            </w:pPr>
            <w:r>
              <w:rPr>
                <w:rFonts w:ascii="Times New Roman" w:cs="Times New Roman" w:eastAsia="Times New Roman" w:hAnsi="Times New Roman"/>
                <w:sz w:val="16"/>
                <w:szCs w:val="16"/>
                <w:b w:val="1"/>
                <w:bCs w:val="1"/>
                <w:color w:val="auto"/>
              </w:rPr>
              <w:t>Total cash flow hedges</w:t>
            </w:r>
          </w:p>
        </w:tc>
        <w:tc>
          <w:tcPr>
            <w:tcW w:w="200" w:type="dxa"/>
            <w:vAlign w:val="bottom"/>
            <w:tcBorders>
              <w:top w:val="single" w:sz="8" w:color="auto"/>
              <w:bottom w:val="single" w:sz="8" w:color="auto"/>
            </w:tcBorders>
          </w:tcPr>
          <w:p>
            <w:pPr>
              <w:jc w:val="right"/>
              <w:ind w:right="18"/>
              <w:spacing w:after="0" w:line="177"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2.4</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120"/>
              <w:spacing w:after="0" w:line="209" w:lineRule="exact"/>
              <w:rPr>
                <w:sz w:val="20"/>
                <w:szCs w:val="20"/>
                <w:color w:val="auto"/>
              </w:rPr>
            </w:pPr>
            <w:r>
              <w:rPr>
                <w:rFonts w:ascii="Times New Roman" w:cs="Times New Roman" w:eastAsia="Times New Roman" w:hAnsi="Times New Roman"/>
                <w:sz w:val="16"/>
                <w:szCs w:val="16"/>
                <w:color w:val="auto"/>
              </w:rPr>
              <w:t>Net investment hedges</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6"/>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other</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Total hedges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6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8"/>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13.8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8"/>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620" w:type="dxa"/>
            <w:vAlign w:val="bottom"/>
            <w:gridSpan w:val="7"/>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Amount of Gain (Loss) Reclassified from Accumulated OCI into Income</w:t>
            </w:r>
          </w:p>
        </w:tc>
      </w:tr>
      <w:tr>
        <w:trPr>
          <w:trHeight w:val="24"/>
        </w:trPr>
        <w:tc>
          <w:tcPr>
            <w:tcW w:w="2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324"/>
        </w:trPr>
        <w:tc>
          <w:tcPr>
            <w:tcW w:w="2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Statement of Operations</w:t>
            </w: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right"/>
              <w:ind w:right="13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3"/>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300" w:type="dxa"/>
            <w:vAlign w:val="bottom"/>
          </w:tcPr>
          <w:p>
            <w:pPr>
              <w:spacing w:after="0"/>
              <w:rPr>
                <w:sz w:val="18"/>
                <w:szCs w:val="18"/>
                <w:color w:val="auto"/>
              </w:rPr>
            </w:pPr>
          </w:p>
        </w:tc>
        <w:tc>
          <w:tcPr>
            <w:tcW w:w="17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December 30, 2023</w:t>
            </w:r>
          </w:p>
        </w:tc>
      </w:tr>
      <w:tr>
        <w:trPr>
          <w:trHeight w:val="171"/>
        </w:trPr>
        <w:tc>
          <w:tcPr>
            <w:tcW w:w="2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700" w:type="dxa"/>
            <w:vAlign w:val="bottom"/>
            <w:tcBorders>
              <w:top w:val="single" w:sz="8" w:color="auto"/>
            </w:tcBorders>
          </w:tcPr>
          <w:p>
            <w:pPr>
              <w:spacing w:after="0"/>
              <w:rPr>
                <w:sz w:val="14"/>
                <w:szCs w:val="14"/>
                <w:color w:val="auto"/>
              </w:rPr>
            </w:pPr>
          </w:p>
        </w:tc>
      </w:tr>
      <w:tr>
        <w:trPr>
          <w:trHeight w:val="214"/>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3"/>
        </w:trPr>
        <w:tc>
          <w:tcPr>
            <w:tcW w:w="4620" w:type="dxa"/>
            <w:vAlign w:val="bottom"/>
            <w:gridSpan w:val="2"/>
          </w:tcPr>
          <w:p>
            <w:pPr>
              <w:ind w:left="220"/>
              <w:spacing w:after="0" w:line="233" w:lineRule="exact"/>
              <w:rPr>
                <w:sz w:val="20"/>
                <w:szCs w:val="20"/>
                <w:color w:val="auto"/>
              </w:rPr>
            </w:pPr>
            <w:r>
              <w:rPr>
                <w:rFonts w:ascii="Times New Roman" w:cs="Times New Roman" w:eastAsia="Times New Roman" w:hAnsi="Times New Roman"/>
                <w:sz w:val="16"/>
                <w:szCs w:val="16"/>
                <w:color w:val="auto"/>
              </w:rPr>
              <w:t>Inventory purchases</w:t>
            </w:r>
            <w:r>
              <w:rPr>
                <w:rFonts w:ascii="Times New Roman" w:cs="Times New Roman" w:eastAsia="Times New Roman" w:hAnsi="Times New Roman"/>
                <w:sz w:val="21"/>
                <w:szCs w:val="21"/>
                <w:color w:val="auto"/>
                <w:vertAlign w:val="superscript"/>
              </w:rPr>
              <w:t>(1)</w:t>
            </w: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80" w:type="dxa"/>
            <w:vAlign w:val="bottom"/>
          </w:tcPr>
          <w:p>
            <w:pPr>
              <w:spacing w:after="0"/>
              <w:rPr>
                <w:sz w:val="20"/>
                <w:szCs w:val="20"/>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3"/>
        </w:trPr>
        <w:tc>
          <w:tcPr>
            <w:tcW w:w="4620" w:type="dxa"/>
            <w:vAlign w:val="bottom"/>
            <w:gridSpan w:val="2"/>
            <w:shd w:val="clear" w:color="auto" w:fill="CCEEFF"/>
          </w:tcPr>
          <w:p>
            <w:pPr>
              <w:ind w:left="220"/>
              <w:spacing w:after="0" w:line="233" w:lineRule="exact"/>
              <w:rPr>
                <w:sz w:val="20"/>
                <w:szCs w:val="20"/>
                <w:color w:val="auto"/>
              </w:rPr>
            </w:pPr>
            <w:r>
              <w:rPr>
                <w:rFonts w:ascii="Times New Roman" w:cs="Times New Roman" w:eastAsia="Times New Roman" w:hAnsi="Times New Roman"/>
                <w:sz w:val="16"/>
                <w:szCs w:val="16"/>
                <w:color w:val="auto"/>
              </w:rPr>
              <w:t>Interest rates</w:t>
            </w:r>
            <w:r>
              <w:rPr>
                <w:rFonts w:ascii="Times New Roman" w:cs="Times New Roman" w:eastAsia="Times New Roman" w:hAnsi="Times New Roman"/>
                <w:sz w:val="21"/>
                <w:szCs w:val="21"/>
                <w:color w:val="auto"/>
                <w:vertAlign w:val="superscript"/>
              </w:rPr>
              <w:t>(2)</w:t>
            </w:r>
          </w:p>
        </w:tc>
        <w:tc>
          <w:tcPr>
            <w:tcW w:w="2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1"/>
        </w:trPr>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cash flow hedges</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73"/>
        </w:trPr>
        <w:tc>
          <w:tcPr>
            <w:tcW w:w="4620" w:type="dxa"/>
            <w:vAlign w:val="bottom"/>
            <w:gridSpan w:val="2"/>
            <w:shd w:val="clear" w:color="auto" w:fill="CCEEFF"/>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Other:</w:t>
            </w: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09"/>
        </w:trPr>
        <w:tc>
          <w:tcPr>
            <w:tcW w:w="4620" w:type="dxa"/>
            <w:vAlign w:val="bottom"/>
            <w:tcBorders>
              <w:bottom w:val="single" w:sz="8" w:color="CCEEFF"/>
            </w:tcBorders>
            <w:gridSpan w:val="2"/>
          </w:tcPr>
          <w:p>
            <w:pPr>
              <w:ind w:left="220"/>
              <w:spacing w:after="0" w:line="209" w:lineRule="exact"/>
              <w:rPr>
                <w:sz w:val="20"/>
                <w:szCs w:val="20"/>
                <w:color w:val="auto"/>
              </w:rPr>
            </w:pPr>
            <w:r>
              <w:rPr>
                <w:rFonts w:ascii="Times New Roman" w:cs="Times New Roman" w:eastAsia="Times New Roman" w:hAnsi="Times New Roman"/>
                <w:sz w:val="16"/>
                <w:szCs w:val="16"/>
                <w:color w:val="auto"/>
              </w:rPr>
              <w:t>Net investment hedges</w:t>
            </w:r>
            <w:r>
              <w:rPr>
                <w:rFonts w:ascii="Times New Roman" w:cs="Times New Roman" w:eastAsia="Times New Roman" w:hAnsi="Times New Roman"/>
                <w:sz w:val="21"/>
                <w:szCs w:val="21"/>
                <w:color w:val="auto"/>
                <w:vertAlign w:val="superscript"/>
              </w:rPr>
              <w:t>(3)</w:t>
            </w:r>
          </w:p>
        </w:tc>
        <w:tc>
          <w:tcPr>
            <w:tcW w:w="252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Interest income (expense)</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other</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9"/>
        </w:trPr>
        <w:tc>
          <w:tcPr>
            <w:tcW w:w="46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 hedges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2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r>
    </w:tbl>
    <w:p>
      <w:pPr>
        <w:spacing w:after="0" w:line="140" w:lineRule="exact"/>
        <w:rPr>
          <w:sz w:val="20"/>
          <w:szCs w:val="20"/>
          <w:color w:val="auto"/>
        </w:rPr>
      </w:pPr>
    </w:p>
    <w:p>
      <w:pPr>
        <w:ind w:left="282" w:hanging="282"/>
        <w:spacing w:after="0"/>
        <w:tabs>
          <w:tab w:leader="none" w:pos="282"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forward foreign currency exchange contracts ("FC") designated as derivative instruments in cash flow hedging relationships.</w:t>
      </w:r>
    </w:p>
    <w:p>
      <w:pPr>
        <w:spacing w:after="0" w:line="62" w:lineRule="exact"/>
        <w:rPr>
          <w:rFonts w:ascii="Times New Roman" w:cs="Times New Roman" w:eastAsia="Times New Roman" w:hAnsi="Times New Roman"/>
          <w:sz w:val="21"/>
          <w:szCs w:val="21"/>
          <w:color w:val="auto"/>
          <w:vertAlign w:val="superscript"/>
        </w:rPr>
      </w:pPr>
    </w:p>
    <w:p>
      <w:pPr>
        <w:ind w:left="282" w:hanging="282"/>
        <w:spacing w:after="0" w:line="230" w:lineRule="auto"/>
        <w:tabs>
          <w:tab w:leader="none" w:pos="282"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forward interest rate contracts ("IC") designated as derivative instruments in cash flow hedging relationships.</w:t>
      </w:r>
    </w:p>
    <w:p>
      <w:pPr>
        <w:spacing w:after="0" w:line="81" w:lineRule="exact"/>
        <w:rPr>
          <w:rFonts w:ascii="Times New Roman" w:cs="Times New Roman" w:eastAsia="Times New Roman" w:hAnsi="Times New Roman"/>
          <w:sz w:val="21"/>
          <w:szCs w:val="21"/>
          <w:color w:val="auto"/>
          <w:vertAlign w:val="superscript"/>
        </w:rPr>
      </w:pPr>
    </w:p>
    <w:p>
      <w:pPr>
        <w:ind w:left="302" w:hanging="302"/>
        <w:spacing w:after="0" w:line="231" w:lineRule="auto"/>
        <w:tabs>
          <w:tab w:leader="none" w:pos="291"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81" w:lineRule="exact"/>
        <w:rPr>
          <w:sz w:val="20"/>
          <w:szCs w:val="20"/>
          <w:color w:val="auto"/>
        </w:rPr>
      </w:pPr>
    </w:p>
    <w:p>
      <w:pPr>
        <w:jc w:val="both"/>
        <w:ind w:left="2" w:firstLine="294"/>
        <w:spacing w:after="0" w:line="294" w:lineRule="auto"/>
        <w:rPr>
          <w:sz w:val="20"/>
          <w:szCs w:val="20"/>
          <w:color w:val="auto"/>
        </w:rPr>
      </w:pPr>
      <w:r>
        <w:rPr>
          <w:rFonts w:ascii="Times New Roman" w:cs="Times New Roman" w:eastAsia="Times New Roman" w:hAnsi="Times New Roman"/>
          <w:sz w:val="16"/>
          <w:szCs w:val="16"/>
          <w:color w:val="auto"/>
        </w:rPr>
        <w:t>The Company expects that $32.4 million of net derivative gain related to inventory purchases included in Accumulated other comprehensive income at December 28, 2024 will be reclassified into earnings within the next 12 months. This amount will vary due to fluctuations in foreign currency exchange rates.</w:t>
      </w:r>
    </w:p>
    <w:p>
      <w:pPr>
        <w:spacing w:after="0" w:line="40" w:lineRule="exact"/>
        <w:rPr>
          <w:sz w:val="20"/>
          <w:szCs w:val="20"/>
          <w:color w:val="auto"/>
        </w:rPr>
      </w:pPr>
    </w:p>
    <w:p>
      <w:pPr>
        <w:jc w:val="both"/>
        <w:ind w:left="2" w:firstLine="294"/>
        <w:spacing w:after="0" w:line="267" w:lineRule="auto"/>
        <w:rPr>
          <w:sz w:val="20"/>
          <w:szCs w:val="20"/>
          <w:color w:val="auto"/>
        </w:rPr>
      </w:pPr>
      <w:r>
        <w:rPr>
          <w:rFonts w:ascii="Times New Roman" w:cs="Times New Roman" w:eastAsia="Times New Roman" w:hAnsi="Times New Roman"/>
          <w:sz w:val="16"/>
          <w:szCs w:val="16"/>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net in the Company’s Condensed Consolidated Statements of Operations. Accordingly, the Company recorded net interest income of $15.7 million and $14.3 million during the six months ended December 28, 2024 and December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9. EARNINGS PER SHARE</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is a reconciliation of the weighted-average shares outstanding and calculation of basic and diluted earnings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840" w:type="dxa"/>
            <w:vAlign w:val="bottom"/>
            <w:gridSpan w:val="4"/>
          </w:tcPr>
          <w:p>
            <w:pPr>
              <w:jc w:val="right"/>
              <w:ind w:right="77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2"/>
        </w:trPr>
        <w:tc>
          <w:tcPr>
            <w:tcW w:w="5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0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80"/>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78"/>
              <w:spacing w:after="0" w:line="152" w:lineRule="exact"/>
              <w:rPr>
                <w:sz w:val="20"/>
                <w:szCs w:val="20"/>
                <w:color w:val="auto"/>
              </w:rPr>
            </w:pPr>
            <w:r>
              <w:rPr>
                <w:rFonts w:ascii="Times New Roman" w:cs="Times New Roman" w:eastAsia="Times New Roman" w:hAnsi="Times New Roman"/>
                <w:sz w:val="16"/>
                <w:szCs w:val="16"/>
                <w:color w:val="auto"/>
              </w:rPr>
              <w:t>December 30,</w:t>
            </w:r>
          </w:p>
        </w:tc>
      </w:tr>
      <w:tr>
        <w:trPr>
          <w:trHeight w:val="219"/>
        </w:trPr>
        <w:tc>
          <w:tcPr>
            <w:tcW w:w="5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color w:val="auto"/>
              </w:rPr>
              <w:t>2023</w:t>
            </w:r>
          </w:p>
        </w:tc>
      </w:tr>
      <w:tr>
        <w:trPr>
          <w:trHeight w:val="172"/>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basic shares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securities: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9"/>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1"/>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diluted shares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8"/>
        </w:trPr>
        <w:tc>
          <w:tcPr>
            <w:tcW w:w="5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50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tcPr>
          <w:p>
            <w:pPr>
              <w:jc w:val="right"/>
              <w:ind w:right="18"/>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8"/>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2.23</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December 28, 2024 and December 30, 2023, there were 0.7 million and 5.5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10. SHARE-BASED COMPENSATION</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shows the share-based compensation expense and the related tax benefits recognized in the Company's Condensed Consolidated Statements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260" w:type="dxa"/>
            <w:vAlign w:val="bottom"/>
            <w:gridSpan w:val="3"/>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40" w:type="dxa"/>
            <w:vAlign w:val="bottom"/>
          </w:tcPr>
          <w:p>
            <w:pPr>
              <w:spacing w:after="0"/>
              <w:rPr>
                <w:sz w:val="18"/>
                <w:szCs w:val="18"/>
                <w:color w:val="auto"/>
              </w:rPr>
            </w:pPr>
          </w:p>
        </w:tc>
      </w:tr>
      <w:tr>
        <w:trPr>
          <w:trHeight w:val="152"/>
        </w:trPr>
        <w:tc>
          <w:tcPr>
            <w:tcW w:w="5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8"/>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81"/>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80"/>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520" w:type="dxa"/>
            <w:vAlign w:val="bottom"/>
            <w:tcBorders>
              <w:top w:val="single" w:sz="8" w:color="auto"/>
            </w:tcBorders>
            <w:gridSpan w:val="2"/>
          </w:tcPr>
          <w:p>
            <w:pPr>
              <w:jc w:val="center"/>
              <w:ind w:left="41"/>
              <w:spacing w:after="0" w:line="152" w:lineRule="exact"/>
              <w:rPr>
                <w:sz w:val="20"/>
                <w:szCs w:val="20"/>
                <w:color w:val="auto"/>
              </w:rPr>
            </w:pPr>
            <w:r>
              <w:rPr>
                <w:rFonts w:ascii="Times New Roman" w:cs="Times New Roman" w:eastAsia="Times New Roman" w:hAnsi="Times New Roman"/>
                <w:sz w:val="16"/>
                <w:szCs w:val="16"/>
                <w:color w:val="auto"/>
              </w:rPr>
              <w:t>December 30,</w:t>
            </w:r>
          </w:p>
        </w:tc>
      </w:tr>
      <w:tr>
        <w:trPr>
          <w:trHeight w:val="219"/>
        </w:trPr>
        <w:tc>
          <w:tcPr>
            <w:tcW w:w="5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tcBorders>
              <w:bottom w:val="single" w:sz="8" w:color="auto"/>
            </w:tcBorders>
          </w:tcPr>
          <w:p>
            <w:pPr>
              <w:spacing w:after="0"/>
              <w:rPr>
                <w:sz w:val="19"/>
                <w:szCs w:val="19"/>
                <w:color w:val="auto"/>
              </w:rPr>
            </w:pPr>
          </w:p>
        </w:tc>
      </w:tr>
      <w:tr>
        <w:trPr>
          <w:trHeight w:val="17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right"/>
              <w:ind w:right="11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40.9</w:t>
            </w:r>
          </w:p>
        </w:tc>
        <w:tc>
          <w:tcPr>
            <w:tcW w:w="10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related to share-based compensation expense</w:t>
            </w:r>
          </w:p>
        </w:tc>
        <w:tc>
          <w:tcPr>
            <w:tcW w:w="1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4.1</w:t>
            </w:r>
          </w:p>
        </w:tc>
        <w:tc>
          <w:tcPr>
            <w:tcW w:w="2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372"/>
        </w:trPr>
        <w:tc>
          <w:tcPr>
            <w:tcW w:w="54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4"/>
        </w:trPr>
        <w:tc>
          <w:tcPr>
            <w:tcW w:w="68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 summary of stock option activity during the six months ended December 28, 2024 is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1"/>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40" w:type="dxa"/>
            <w:vAlign w:val="bottom"/>
          </w:tcPr>
          <w:p>
            <w:pPr>
              <w:spacing w:after="0"/>
              <w:rPr>
                <w:sz w:val="24"/>
                <w:szCs w:val="24"/>
                <w:color w:val="auto"/>
              </w:rPr>
            </w:pPr>
          </w:p>
        </w:tc>
      </w:tr>
      <w:tr>
        <w:trPr>
          <w:trHeight w:val="160"/>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center"/>
              <w:ind w:right="1"/>
              <w:spacing w:after="0" w:line="160" w:lineRule="exact"/>
              <w:rPr>
                <w:sz w:val="20"/>
                <w:szCs w:val="20"/>
                <w:color w:val="auto"/>
              </w:rPr>
            </w:pPr>
            <w:r>
              <w:rPr>
                <w:rFonts w:ascii="Times New Roman" w:cs="Times New Roman" w:eastAsia="Times New Roman" w:hAnsi="Times New Roman"/>
                <w:sz w:val="16"/>
                <w:szCs w:val="16"/>
                <w:b w:val="1"/>
                <w:bCs w:val="1"/>
                <w:color w:val="auto"/>
              </w:rPr>
              <w:t>Options</w:t>
            </w:r>
          </w:p>
        </w:tc>
        <w:tc>
          <w:tcPr>
            <w:tcW w:w="440" w:type="dxa"/>
            <w:vAlign w:val="bottom"/>
          </w:tcPr>
          <w:p>
            <w:pPr>
              <w:spacing w:after="0"/>
              <w:rPr>
                <w:sz w:val="13"/>
                <w:szCs w:val="13"/>
                <w:color w:val="auto"/>
              </w:rPr>
            </w:pPr>
          </w:p>
        </w:tc>
      </w:tr>
      <w:tr>
        <w:trPr>
          <w:trHeight w:val="219"/>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440" w:type="dxa"/>
            <w:vAlign w:val="bottom"/>
            <w:tcBorders>
              <w:bottom w:val="single" w:sz="8" w:color="auto"/>
            </w:tcBorders>
          </w:tcPr>
          <w:p>
            <w:pPr>
              <w:spacing w:after="0"/>
              <w:rPr>
                <w:sz w:val="19"/>
                <w:szCs w:val="19"/>
                <w:color w:val="auto"/>
              </w:rPr>
            </w:pPr>
          </w:p>
        </w:tc>
      </w:tr>
      <w:tr>
        <w:trPr>
          <w:trHeight w:val="17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440" w:type="dxa"/>
            <w:vAlign w:val="bottom"/>
          </w:tcPr>
          <w:p>
            <w:pPr>
              <w:spacing w:after="0"/>
              <w:rPr>
                <w:sz w:val="14"/>
                <w:szCs w:val="14"/>
                <w:color w:val="auto"/>
              </w:rPr>
            </w:pPr>
          </w:p>
        </w:tc>
      </w:tr>
      <w:tr>
        <w:trPr>
          <w:trHeight w:val="21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June 29, 2024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9"/>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r>
      <w:tr>
        <w:trPr>
          <w:trHeight w:val="209"/>
        </w:trPr>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r>
      <w:tr>
        <w:trPr>
          <w:trHeight w:val="209"/>
        </w:trPr>
        <w:tc>
          <w:tcPr>
            <w:tcW w:w="5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Forfeited or expired</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r>
      <w:tr>
        <w:trPr>
          <w:trHeight w:val="22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28, 2024</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weighted-average grant-date fair value of options granted during the six months ended December 28, 2024 and December 30, 2023 was $12.11 and $10.30, respectively. The fair value of each option grant is estimated on the date of grant using the Black-Scholes option pricing model and the following weighted-average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December 30,</w:t>
            </w:r>
          </w:p>
        </w:tc>
      </w:tr>
      <w:tr>
        <w:trPr>
          <w:trHeight w:val="217"/>
        </w:trPr>
        <w:tc>
          <w:tcPr>
            <w:tcW w:w="78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r>
      <w:tr>
        <w:trPr>
          <w:trHeight w:val="20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7"/>
                <w:szCs w:val="17"/>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40.9 %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20" w:type="dxa"/>
            <w:vAlign w:val="bottom"/>
          </w:tcPr>
          <w:p>
            <w:pPr>
              <w:spacing w:after="0"/>
              <w:rPr>
                <w:sz w:val="18"/>
                <w:szCs w:val="18"/>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 w:type="dxa"/>
            <w:vAlign w:val="bottom"/>
          </w:tcPr>
          <w:p>
            <w:pPr>
              <w:spacing w:after="0"/>
              <w:rPr>
                <w:sz w:val="18"/>
                <w:szCs w:val="18"/>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3.4 %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20" w:type="dxa"/>
            <w:vAlign w:val="bottom"/>
          </w:tcPr>
          <w:p>
            <w:pPr>
              <w:spacing w:after="0"/>
              <w:rPr>
                <w:sz w:val="18"/>
                <w:szCs w:val="18"/>
                <w:color w:val="auto"/>
              </w:rPr>
            </w:pPr>
          </w:p>
        </w:tc>
      </w:tr>
      <w:tr>
        <w:trPr>
          <w:trHeight w:val="372"/>
        </w:trPr>
        <w:tc>
          <w:tcPr>
            <w:tcW w:w="78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Service-based Restricted Stock Unit Awards ("RSUs")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7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 summary of service-based RSU activity during the six months ended December 28, 2024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7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9"/>
        </w:trPr>
        <w:tc>
          <w:tcPr>
            <w:tcW w:w="7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Non-vested RSUs</w:t>
            </w:r>
          </w:p>
        </w:tc>
      </w:tr>
      <w:tr>
        <w:trPr>
          <w:trHeight w:val="172"/>
        </w:trPr>
        <w:tc>
          <w:tcPr>
            <w:tcW w:w="7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(millions)</w:t>
            </w:r>
          </w:p>
        </w:tc>
      </w:tr>
      <w:tr>
        <w:trPr>
          <w:trHeight w:val="21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29, 2024</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279"/>
              <w:spacing w:after="0"/>
              <w:rPr>
                <w:sz w:val="20"/>
                <w:szCs w:val="20"/>
                <w:color w:val="auto"/>
              </w:rPr>
            </w:pPr>
            <w:r>
              <w:rPr>
                <w:rFonts w:ascii="Times New Roman" w:cs="Times New Roman" w:eastAsia="Times New Roman" w:hAnsi="Times New Roman"/>
                <w:sz w:val="16"/>
                <w:szCs w:val="16"/>
                <w:color w:val="auto"/>
                <w:w w:val="99"/>
              </w:rPr>
              <w:t>5.2</w:t>
            </w:r>
          </w:p>
        </w:tc>
        <w:tc>
          <w:tcPr>
            <w:tcW w:w="20" w:type="dxa"/>
            <w:vAlign w:val="bottom"/>
            <w:shd w:val="clear" w:color="auto" w:fill="CCEEFF"/>
          </w:tcPr>
          <w:p>
            <w:pPr>
              <w:spacing w:after="0"/>
              <w:rPr>
                <w:sz w:val="18"/>
                <w:szCs w:val="18"/>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w w:val="99"/>
              </w:rPr>
              <w:t>1.9</w:t>
            </w:r>
          </w:p>
        </w:tc>
        <w:tc>
          <w:tcPr>
            <w:tcW w:w="20" w:type="dxa"/>
            <w:vAlign w:val="bottom"/>
          </w:tcPr>
          <w:p>
            <w:pPr>
              <w:spacing w:after="0"/>
              <w:rPr>
                <w:sz w:val="18"/>
                <w:szCs w:val="18"/>
                <w:color w:val="auto"/>
              </w:rPr>
            </w:pPr>
          </w:p>
        </w:tc>
      </w:tr>
      <w:tr>
        <w:trPr>
          <w:trHeight w:val="209"/>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7"/>
              </w:rPr>
              <w:t>(2.2)</w:t>
            </w:r>
          </w:p>
        </w:tc>
      </w:tr>
      <w:tr>
        <w:trPr>
          <w:trHeight w:val="209"/>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7"/>
              </w:rPr>
              <w:t>(0.2)</w:t>
            </w:r>
          </w:p>
        </w:tc>
      </w:tr>
      <w:tr>
        <w:trPr>
          <w:trHeight w:val="22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28, 2024</w:t>
            </w:r>
          </w:p>
        </w:tc>
        <w:tc>
          <w:tcPr>
            <w:tcW w:w="1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w w:val="99"/>
              </w:rPr>
              <w:t>4.7</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weighted-average grant-date fair value of share awards granted during the six months ended December 28, 2024 and December 30, 2023 was $41.39 and $33.66,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Restricted Stock Unit Awards ("PRSUs")</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summary of PRSU activity during the six months ended December 28, 2024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9"/>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Non-vested PRSUs</w:t>
            </w:r>
          </w:p>
        </w:tc>
      </w:tr>
      <w:tr>
        <w:trPr>
          <w:trHeight w:val="172"/>
        </w:trPr>
        <w:tc>
          <w:tcPr>
            <w:tcW w:w="9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(millions)</w:t>
            </w:r>
          </w:p>
        </w:tc>
      </w:tr>
      <w:tr>
        <w:trPr>
          <w:trHeight w:val="21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29, 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91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r>
      <w:tr>
        <w:trPr>
          <w:trHeight w:val="209"/>
        </w:trPr>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9"/>
        </w:trPr>
        <w:tc>
          <w:tcPr>
            <w:tcW w:w="91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r>
      <w:tr>
        <w:trPr>
          <w:trHeight w:val="209"/>
        </w:trPr>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r>
      <w:tr>
        <w:trPr>
          <w:trHeight w:val="201"/>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28, 2024</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weighted-average grant-date fair value per share of PRSU awards granted during the six months ended December 28, 2024 and December 30, 2023 was $46.72 and $33.59,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11. DEBT</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20" w:type="dxa"/>
            <w:vAlign w:val="bottom"/>
          </w:tcPr>
          <w:p>
            <w:pPr>
              <w:spacing w:after="0"/>
              <w:rPr>
                <w:sz w:val="24"/>
                <w:szCs w:val="24"/>
                <w:color w:val="auto"/>
              </w:rPr>
            </w:pPr>
          </w:p>
        </w:tc>
        <w:tc>
          <w:tcPr>
            <w:tcW w:w="78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The following table summarizes the components of the Company’s outstanding debt: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1"/>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340" w:type="dxa"/>
            <w:vAlign w:val="bottom"/>
          </w:tcPr>
          <w:p>
            <w:pPr>
              <w:spacing w:after="0"/>
              <w:rPr>
                <w:sz w:val="24"/>
                <w:szCs w:val="24"/>
                <w:color w:val="auto"/>
              </w:rPr>
            </w:pPr>
          </w:p>
        </w:tc>
        <w:tc>
          <w:tcPr>
            <w:tcW w:w="122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June 29,</w:t>
            </w:r>
          </w:p>
        </w:tc>
      </w:tr>
      <w:tr>
        <w:trPr>
          <w:trHeight w:val="219"/>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color w:val="auto"/>
              </w:rPr>
              <w:t>2024</w:t>
            </w:r>
          </w:p>
        </w:tc>
      </w:tr>
      <w:tr>
        <w:trPr>
          <w:trHeight w:val="17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20" w:type="dxa"/>
            <w:vAlign w:val="bottom"/>
          </w:tcPr>
          <w:p>
            <w:pPr>
              <w:spacing w:after="0"/>
              <w:rPr>
                <w:sz w:val="14"/>
                <w:szCs w:val="14"/>
                <w:color w:val="auto"/>
              </w:rPr>
            </w:pPr>
          </w:p>
        </w:tc>
      </w:tr>
      <w:tr>
        <w:trPr>
          <w:trHeight w:val="21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794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6"/>
                <w:szCs w:val="16"/>
                <w:color w:val="auto"/>
              </w:rPr>
              <w:t>4.250% Senior Notes due 2025</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r>
      <w:tr>
        <w:trPr>
          <w:trHeight w:val="226"/>
        </w:trPr>
        <w:tc>
          <w:tcPr>
            <w:tcW w:w="79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Debt</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2"/>
        </w:trPr>
        <w:tc>
          <w:tcPr>
            <w:tcW w:w="120" w:type="dxa"/>
            <w:vAlign w:val="bottom"/>
          </w:tcPr>
          <w:p>
            <w:pPr>
              <w:spacing w:after="0"/>
              <w:rPr>
                <w:sz w:val="14"/>
                <w:szCs w:val="14"/>
                <w:color w:val="auto"/>
              </w:rPr>
            </w:pPr>
          </w:p>
        </w:tc>
        <w:tc>
          <w:tcPr>
            <w:tcW w:w="782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color w:val="auto"/>
              </w:rPr>
              <w:t>USD Senior Notes: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
        </w:trPr>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7"/>
        </w:trPr>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7.050%</w:t>
            </w:r>
          </w:p>
        </w:tc>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2025</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7.000%</w:t>
            </w:r>
          </w:p>
        </w:tc>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Senior Notes due 2026</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0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4.125%</w:t>
            </w:r>
          </w:p>
        </w:tc>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r>
      <w:tr>
        <w:trPr>
          <w:trHeight w:val="20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7.350%</w:t>
            </w:r>
          </w:p>
        </w:tc>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Senior Notes due 2028</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5.100%</w:t>
            </w:r>
          </w:p>
        </w:tc>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2030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7.700%</w:t>
            </w:r>
          </w:p>
        </w:tc>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Senior Notes due 2030</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3.050%</w:t>
            </w:r>
          </w:p>
        </w:tc>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2032</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7.850%</w:t>
            </w:r>
          </w:p>
        </w:tc>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Senior Notes due 2033</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r>
      <w:tr>
        <w:trPr>
          <w:trHeight w:val="20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5.500%</w:t>
            </w:r>
          </w:p>
        </w:tc>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2035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20" w:type="dxa"/>
            <w:vAlign w:val="bottom"/>
          </w:tcPr>
          <w:p>
            <w:pPr>
              <w:spacing w:after="0"/>
              <w:rPr>
                <w:sz w:val="14"/>
                <w:szCs w:val="14"/>
                <w:color w:val="auto"/>
              </w:rPr>
            </w:pPr>
          </w:p>
        </w:tc>
        <w:tc>
          <w:tcPr>
            <w:tcW w:w="782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color w:val="auto"/>
              </w:rPr>
              <w:t>EUR Senior Notes: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
        </w:trPr>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7"/>
        </w:trPr>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5.350%</w:t>
            </w:r>
          </w:p>
        </w:tc>
        <w:tc>
          <w:tcPr>
            <w:tcW w:w="7180" w:type="dxa"/>
            <w:vAlign w:val="bottom"/>
            <w:gridSpan w:val="3"/>
            <w:shd w:val="clear" w:color="auto" w:fill="CCEEFF"/>
          </w:tcPr>
          <w:p>
            <w:pPr>
              <w:spacing w:after="0" w:line="217" w:lineRule="exact"/>
              <w:rPr>
                <w:sz w:val="20"/>
                <w:szCs w:val="20"/>
                <w:color w:val="auto"/>
              </w:rPr>
            </w:pPr>
            <w:r>
              <w:rPr>
                <w:rFonts w:ascii="Times New Roman" w:cs="Times New Roman" w:eastAsia="Times New Roman" w:hAnsi="Times New Roman"/>
                <w:sz w:val="16"/>
                <w:szCs w:val="16"/>
                <w:color w:val="auto"/>
              </w:rPr>
              <w:t>EUR Senior Notes due 2025</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r>
      <w:tr>
        <w:trPr>
          <w:trHeight w:val="20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5.375%</w:t>
            </w:r>
          </w:p>
        </w:tc>
        <w:tc>
          <w:tcPr>
            <w:tcW w:w="7180" w:type="dxa"/>
            <w:vAlign w:val="bottom"/>
            <w:gridSpan w:val="3"/>
          </w:tcPr>
          <w:p>
            <w:pPr>
              <w:spacing w:after="0" w:line="209" w:lineRule="exact"/>
              <w:rPr>
                <w:sz w:val="20"/>
                <w:szCs w:val="20"/>
                <w:color w:val="auto"/>
              </w:rPr>
            </w:pPr>
            <w:r>
              <w:rPr>
                <w:rFonts w:ascii="Times New Roman" w:cs="Times New Roman" w:eastAsia="Times New Roman" w:hAnsi="Times New Roman"/>
                <w:sz w:val="16"/>
                <w:szCs w:val="16"/>
                <w:color w:val="auto"/>
              </w:rPr>
              <w:t>EUR Senior Notes due 2027</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w:t>
            </w:r>
          </w:p>
        </w:tc>
      </w:tr>
      <w:tr>
        <w:trPr>
          <w:trHeight w:val="20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5.875%</w:t>
            </w:r>
          </w:p>
        </w:tc>
        <w:tc>
          <w:tcPr>
            <w:tcW w:w="7180" w:type="dxa"/>
            <w:vAlign w:val="bottom"/>
            <w:gridSpan w:val="3"/>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EUR Senior Notes due 2031</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r>
      <w:tr>
        <w:trPr>
          <w:trHeight w:val="201"/>
        </w:trPr>
        <w:tc>
          <w:tcPr>
            <w:tcW w:w="79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debt</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2,396.6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7,003.4</w:t>
            </w:r>
          </w:p>
        </w:tc>
      </w:tr>
      <w:tr>
        <w:trPr>
          <w:trHeight w:val="201"/>
        </w:trPr>
        <w:tc>
          <w:tcPr>
            <w:tcW w:w="79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Unamortized discount and debt issuance costs on Senior Notes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01"/>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debt, net</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6,937.2</w:t>
            </w:r>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7"/>
        </w:trPr>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28" w:lineRule="exact"/>
        <w:rPr>
          <w:sz w:val="20"/>
          <w:szCs w:val="20"/>
          <w:color w:val="auto"/>
        </w:rPr>
      </w:pPr>
    </w:p>
    <w:p>
      <w:pPr>
        <w:ind w:left="282" w:hanging="282"/>
        <w:spacing w:after="0"/>
        <w:tabs>
          <w:tab w:leader="none" w:pos="282"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carrying amounts of the Capri Acquisition EUR Senior Notes include the impact of changes in the exchange rate of the United States Dollar against the Euro.</w:t>
      </w:r>
    </w:p>
    <w:p>
      <w:pPr>
        <w:spacing w:after="0" w:line="81" w:lineRule="exact"/>
        <w:rPr>
          <w:sz w:val="20"/>
          <w:szCs w:val="20"/>
          <w:color w:val="auto"/>
        </w:rPr>
      </w:pPr>
    </w:p>
    <w:p>
      <w:pPr>
        <w:jc w:val="both"/>
        <w:ind w:left="2" w:firstLine="221"/>
        <w:spacing w:after="0" w:line="287" w:lineRule="auto"/>
        <w:rPr>
          <w:sz w:val="20"/>
          <w:szCs w:val="20"/>
          <w:color w:val="auto"/>
        </w:rPr>
      </w:pPr>
      <w:r>
        <w:rPr>
          <w:rFonts w:ascii="Times New Roman" w:cs="Times New Roman" w:eastAsia="Times New Roman" w:hAnsi="Times New Roman"/>
          <w:sz w:val="16"/>
          <w:szCs w:val="16"/>
          <w:color w:val="auto"/>
        </w:rPr>
        <w:t>During the three and six months ended December 28, 2024, the Company recognized interest expense related to its debt of $85.8 million and $209.0 million, respectively. During the three and six months ended December 30, 2023, the Company recognized interest expense related to its debt of $88.6 million and $110.9 million, respectively.</w:t>
      </w:r>
    </w:p>
    <w:p>
      <w:pPr>
        <w:spacing w:after="0" w:line="247" w:lineRule="exact"/>
        <w:rPr>
          <w:sz w:val="20"/>
          <w:szCs w:val="20"/>
          <w:color w:val="auto"/>
        </w:rPr>
      </w:pPr>
    </w:p>
    <w:p>
      <w:pPr>
        <w:jc w:val="both"/>
        <w:ind w:left="2" w:firstLine="221"/>
        <w:spacing w:after="0" w:line="275" w:lineRule="auto"/>
        <w:rPr>
          <w:sz w:val="20"/>
          <w:szCs w:val="20"/>
          <w:color w:val="auto"/>
        </w:rPr>
      </w:pPr>
      <w:r>
        <w:rPr>
          <w:rFonts w:ascii="Times New Roman" w:cs="Times New Roman" w:eastAsia="Times New Roman" w:hAnsi="Times New Roman"/>
          <w:sz w:val="16"/>
          <w:szCs w:val="16"/>
          <w:color w:val="auto"/>
        </w:rPr>
        <w:t>During the three and six months ended December 28, 2024, the Company recognized Loss on extinguishment of debt of $120.1 million primarily related to redemption premiums, as well as unamortized debt issuance costs and discounts, as a result of the redemption of the Capri Acquisition Senior Notes in the second quarter of fiscal 2025. There was no Loss on extinguishment of debt recognized by the Company during the three and six months ended December 30, 2023.</w:t>
      </w:r>
    </w:p>
    <w:p>
      <w:pPr>
        <w:spacing w:after="0" w:line="51"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b w:val="1"/>
          <w:bCs w:val="1"/>
          <w:color w:val="auto"/>
        </w:rPr>
        <w:t>Capri Holdings Limited Acquisition Related Debt Transactions:</w:t>
      </w:r>
    </w:p>
    <w:p>
      <w:pPr>
        <w:spacing w:after="0" w:line="114"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In order to finance the Capri Acquisition, on November 27, 2023, the Company issued $4.50 billion Capri Acquisition USD Senior Notes and €1.50 billion Capri Acquisition EUR Senior Notes which, together with the $1.40 billion of delayed draw Capri Acquisition Term Loan Facilities executed on August 30, 2023, completed the expected financing for the Capri Acquisition.</w:t>
      </w:r>
    </w:p>
    <w:p>
      <w:pPr>
        <w:spacing w:after="0" w:line="200" w:lineRule="exact"/>
        <w:rPr>
          <w:sz w:val="20"/>
          <w:szCs w:val="20"/>
          <w:color w:val="auto"/>
        </w:rPr>
      </w:pPr>
    </w:p>
    <w:p>
      <w:pPr>
        <w:spacing w:after="0" w:line="29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of such Capri Acquisition USD Senior Notes and Capri Acquisition EUR Senior Notes, plus accrued and unpaid interest to, but excluding, the date of redemption. In addition, the Capri Acquisition Term Loan Credit Agreement was terminated concurrently with the execution of the Termination Agreement on November 13, 2024. Refer to Note 5, "Acquisitions," for further information. A summary of the Capri Holdings Limited acquisition debt related transactions is as follows: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Capri Acquisition Term Loan Facilities</w:t>
      </w:r>
    </w:p>
    <w:p>
      <w:pPr>
        <w:spacing w:after="0" w:line="114"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On August 30, 2023, the Company entered into a definitive credit agreement (such agreement, the "Capri Acquisition Term Loan Credit Agreement"), whereby Bank of America, N.A, as administrative agent, and the other agents party thereto, and a syndicate of banks and financial institutions have committed to lend the Company, subject to the satisfaction or waiver of the conditions set forth in the Capri Acquisition Term Loan Credit Agreement, the Capri Acquisition Term Loan Facilities consisting of a $1.05 billion unsecured term loan facility maturing three years after the term loans thereunder are borrowed (the “Three-Year Term Loan Facility”) and a $350.0 million term loan facility maturing five years after the term loans thereunder are borrowed (the “Five-Year Term Loan Facility”). On November 13, 2024, the Capri Acquisition Term Loan Credit Agreement was terminated concurrently with the execution of the Termination Agreement.</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Capri Acquisition USD Senior Notes</w:t>
      </w:r>
    </w:p>
    <w:p>
      <w:pPr>
        <w:spacing w:after="0" w:line="114"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On November 27, 2023, the Company issued $4.50 billion aggregate principal amount of the Capri Acquisition USD Senior Notes, consisting of $500.0 million aggregate principal amount of 7.050% senior unsecured notes due November 27, 2025 at 99.890% of par (the “7.050% Senior Notes due 2025”), $750.0 million aggregate principal amount of 7.000% senior unsecured notes due November 27, 2026 at 99.803% of par (the “7.000% Senior Notes due 2026”), $1.00 billion aggregate principal amount of 7.350% senior unsecured notes due November 27, 2028 at 99.724% (the “7.350% Senior Notes due 2028”), $1.00 billion aggregate principal amount of 7.700% Senior Notes due November 27, 2030 at 99.712% of par (the “7.700% Senior Notes due 2030”) and $1.25 billion aggregate principal amount of our 7.850% Senior Notes due November 27, 2033 at 99.475% (the “7.850% Senior Notes due 2033").</w:t>
      </w:r>
    </w:p>
    <w:p>
      <w:pPr>
        <w:spacing w:after="0" w:line="6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Due to the termination of the Merger Agreement, on November 25, 2024, the Company redeemed the Capri Acquisition USD Senior Notes with cash on hand at a redemption price equal to 101% of their principal amount. As a result of the redemption prior to their scheduled maturities, the Company was subject to a redemption premium of $45.0 million paid on the Capri Acquisition USD Senior Notes upon such redemption. Additionally, the Company recognized $41.2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Capri Acquisition EUR Senior Notes</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On November 27, 2023, the Company issued €1.50 billion aggregate principal amount of the Capri Acquisition EUR Senior Notes, consisting of €500.0 million aggregate principal amount of 5.350% senior unsecured notes due November 27, 2025 at 99.878% of par (the “5.350% EUR Senior Notes due 2025”), €500.0 million aggregate principal amount of 5.375% senior unsecured notes due November 27, 2027 at 99.723% of par (the 5.375% EUR Senior Notes due 2027”) and €500.0 million aggregate principal amount of our 5.875% senior unsecured notes due November 27, 2031 at 99.248% of par (the “5.875% EUR Senior Notes due 2031").</w:t>
      </w:r>
    </w:p>
    <w:p>
      <w:pPr>
        <w:spacing w:after="0" w:line="59"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Due to the termination of the Merger Agreement, on November 25, 2024, the Company redeemed the Capri Acquisition EUR Senior Notes with cash on hand at a redemption price equal to 101% of their principal amount. As a result of the redemption prior to their scheduled maturities, the Company was subject to a redemption premium of $16.2 million paid on the Capri Acquisition EUR Senior Notes upon such redemption. Additionally, the Company recognized $13.8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Other Debt Transactions:</w:t>
      </w:r>
    </w:p>
    <w:p>
      <w:pPr>
        <w:spacing w:after="0" w:line="11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$2.00 Billion Revolving Credit Facility</w:t>
      </w:r>
    </w:p>
    <w:p>
      <w:pPr>
        <w:spacing w:after="0" w:line="114" w:lineRule="exact"/>
        <w:rPr>
          <w:sz w:val="20"/>
          <w:szCs w:val="20"/>
          <w:color w:val="auto"/>
        </w:rPr>
      </w:pPr>
    </w:p>
    <w:p>
      <w:pPr>
        <w:jc w:val="both"/>
        <w:ind w:left="2" w:firstLine="294"/>
        <w:spacing w:after="0" w:line="265" w:lineRule="auto"/>
        <w:rPr>
          <w:sz w:val="20"/>
          <w:szCs w:val="20"/>
          <w:color w:val="auto"/>
        </w:rPr>
      </w:pPr>
      <w:r>
        <w:rPr>
          <w:rFonts w:ascii="Times New Roman" w:cs="Times New Roman" w:eastAsia="Times New Roman" w:hAnsi="Times New Roman"/>
          <w:sz w:val="16"/>
          <w:szCs w:val="16"/>
          <w:color w:val="auto"/>
        </w:rPr>
        <w:t>On August 30, 2023, pursuant to that certain Amendment No. 1 to the Credit Agreement (the "Amendment"), the Company amended its Existing Credit Agreement (as defined below), originally dated as of May 11, 2022, among the Company, as borrower, certain of our subsidiaries, as guarantors, Bank of America, N.A., as administrative agent, and the financial institutions parties thereto as lenders (the "Existing Credit Agreement", and as amended by the Amendment, the "Amended Credit Agreement"). Under the Amended Credit Agreement, a syndicate of financial institutions and other lenders provided increases to the aggregate commitments to the revolving facility under the Existing Credit Agreement from $1.25 billion to $2.00 billion (the “Revolving Credit Facility”). The Revolving Credit Facility will mature on May 11, 2027.</w:t>
      </w:r>
    </w:p>
    <w:p>
      <w:pPr>
        <w:spacing w:after="0" w:line="64" w:lineRule="exact"/>
        <w:rPr>
          <w:sz w:val="20"/>
          <w:szCs w:val="20"/>
          <w:color w:val="auto"/>
        </w:rPr>
      </w:pPr>
    </w:p>
    <w:p>
      <w:pPr>
        <w:jc w:val="both"/>
        <w:ind w:left="2" w:firstLine="294"/>
        <w:spacing w:after="0" w:line="259" w:lineRule="auto"/>
        <w:rPr>
          <w:sz w:val="20"/>
          <w:szCs w:val="20"/>
          <w:color w:val="auto"/>
        </w:rPr>
      </w:pPr>
      <w:r>
        <w:rPr>
          <w:rFonts w:ascii="Times New Roman" w:cs="Times New Roman" w:eastAsia="Times New Roman" w:hAnsi="Times New Roman"/>
          <w:sz w:val="16"/>
          <w:szCs w:val="16"/>
          <w:color w:val="auto"/>
        </w:rPr>
        <w:t>Borrowings under the Revolving Credit Facility bear interest at a rate per annum equal to, at the Company’s option, (i) for borrowings in U.S. Dollars, either (a) an alternate base rate or (b) a rate based on the forward-looking SOFR term rate administered by CME Group Benchmark Administration Limited (or any successor administrator satisfactory to the administrative agent),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to (b) consolidated EBITDAR. Additionally, the Company will pay facility fees, calculated at a rate per annum determined in accordance with the Pricing Grid, on the full amount of the Revolving Credit Facility, payable quarterly in arrears, and certain fees with respect to letters of credit that are issued. The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Revolving Credit Facility used to partially fund the share repurchases under the ASR Agreements and for general corporate purposes. Subsequently, on December 11, 2024, the Company issued $1.50 billion of senior unsecured notes (as defined below, the 2030 and 2035 Senior Notes) and the funds were partially used to repay the borrowings under the Revolving Credit Facility on December 11, 2024. On December 20, 2024, the Company entered into Amendment No. 2 to the Credit Agreement to update the definition of Consolidated EBITDAR to account for any extraordinary, unusual, infrequent or non-recurring costs, expenses or losses paid in cash during such period that are related to the Capri Acquisition. There were no outstanding borrowings on the Revolving Credit Facility as of December 28, 2024.</w:t>
      </w:r>
    </w:p>
    <w:p>
      <w:pPr>
        <w:spacing w:after="0" w:line="63"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Term Loan Credit Agreement</w:t>
      </w:r>
    </w:p>
    <w:p>
      <w:pPr>
        <w:spacing w:after="0" w:line="114" w:lineRule="exact"/>
        <w:rPr>
          <w:sz w:val="20"/>
          <w:szCs w:val="20"/>
          <w:color w:val="auto"/>
        </w:rPr>
      </w:pPr>
    </w:p>
    <w:p>
      <w:pPr>
        <w:jc w:val="both"/>
        <w:ind w:left="2" w:firstLine="294"/>
        <w:spacing w:after="0" w:line="261" w:lineRule="auto"/>
        <w:rPr>
          <w:sz w:val="20"/>
          <w:szCs w:val="20"/>
          <w:color w:val="auto"/>
        </w:rPr>
      </w:pPr>
      <w:r>
        <w:rPr>
          <w:rFonts w:ascii="Times New Roman" w:cs="Times New Roman" w:eastAsia="Times New Roman" w:hAnsi="Times New Roman"/>
          <w:sz w:val="16"/>
          <w:szCs w:val="16"/>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used to partially fund the share repurchases under the ASR Agreements, and for general corporate purposes. Borrowings under the Term Loan Credit Agreement bear interest at a rate per annum equal to, at the Company's option, (i) an alternative base rate or</w:t>
      </w:r>
    </w:p>
    <w:p>
      <w:pPr>
        <w:spacing w:after="0" w:line="2" w:lineRule="exact"/>
        <w:rPr>
          <w:sz w:val="20"/>
          <w:szCs w:val="20"/>
          <w:color w:val="auto"/>
        </w:rPr>
      </w:pPr>
    </w:p>
    <w:p>
      <w:pPr>
        <w:jc w:val="both"/>
        <w:ind w:left="2" w:hanging="2"/>
        <w:spacing w:after="0" w:line="261" w:lineRule="auto"/>
        <w:tabs>
          <w:tab w:leader="none" w:pos="25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6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2030 and 2035 Senior Notes</w:t>
      </w:r>
    </w:p>
    <w:p>
      <w:pPr>
        <w:spacing w:after="0" w:line="114"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net proceeds of this offering together with cash on hand, was used to repay the loans outstanding under the Term Loan Credit Agreement and to repay borrowings under the Revolving Credit Facility. The Company will pay interest semi-annually on the 2030 and 2035 Senior Notes on March 11 and September 11 of each year, commencing on September 11, 2025.</w:t>
      </w:r>
    </w:p>
    <w:p>
      <w:pPr>
        <w:spacing w:after="0" w:line="200" w:lineRule="exact"/>
        <w:rPr>
          <w:sz w:val="20"/>
          <w:szCs w:val="20"/>
          <w:color w:val="auto"/>
        </w:rPr>
      </w:pPr>
    </w:p>
    <w:p>
      <w:pPr>
        <w:spacing w:after="0" w:line="3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Term Loan due 2027</w:t>
      </w:r>
    </w:p>
    <w:p>
      <w:pPr>
        <w:spacing w:after="0" w:line="1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On May 11, 2022, pursuant to the Existing Credit Agreement, the Company entered into an unsecured $500.0 million Term Loan (the “Term Loan due 2027”) which was scheduled to mature on May 11, 2027. The Term Loan due 2027 amortizes in an amount equal to 5.000% per annum, with payments made quarterly. Borrowings under the Term Loan due 2027 bear interest at a rate per annum equal to, at the Company’s option, either (i) an alternate base rate or (ii) a term secured overnight financing rate plus, in each case, an applicable margin. The applicable margin will be adjusted by reference to a pricing grid based on the ratio (a) consolidated debt to (b) consolidated EBITDAR. The Company repaid its outstanding borrowings under the Term Loan due 2027 on May 31, 2024.</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2025, 2027, 2032 Senior Notes</w:t>
      </w:r>
    </w:p>
    <w:p>
      <w:pPr>
        <w:spacing w:after="0" w:line="1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China Credit Facility</w:t>
      </w:r>
    </w:p>
    <w:p>
      <w:pPr>
        <w:spacing w:after="0" w:line="1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$34 million), which includes a loan of up to RMB 85.0 million (approximately $12 million), a bank guarantee facility of up to RMB 15.0 million (approximately $2 million) and Accounts payable financing of up to RMB 150.0 million (approximately $20 million). As of December 28, 2024, there were no borrowings, bank guarantees or Accounts Payable financing outstanding under the China Credit Facility.</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5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Under the Amended Credit Agreement, we are required to comply on a quarterly basis with a maximum net leverage ratio of 4.00:1.00. As of December 28, 2024, we were in compliance with these restrictions and covenants, have met such financial ratios and have met all debt payment obligations.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Fair Value Considerations</w:t>
      </w:r>
    </w:p>
    <w:p>
      <w:pPr>
        <w:spacing w:after="0" w:line="114"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The following table shows the estimated fair values of the senior unsecured notes at December 28, 2024 and June 29, 2024 based on external pricing data, including available quoted market prices of the instruments, and consideration of comparable debt instruments with similar interest rates and trading frequency, among other factors, and is classified as Level 2 measurements within the fair value hierarchy:</w:t>
      </w:r>
    </w:p>
    <w:p>
      <w:pPr>
        <w:spacing w:after="0" w:line="7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420" w:type="dxa"/>
            <w:vAlign w:val="bottom"/>
          </w:tcPr>
          <w:p>
            <w:pPr>
              <w:spacing w:after="0"/>
              <w:rPr>
                <w:sz w:val="16"/>
                <w:szCs w:val="16"/>
                <w:color w:val="auto"/>
              </w:rPr>
            </w:pPr>
          </w:p>
        </w:tc>
        <w:tc>
          <w:tcPr>
            <w:tcW w:w="122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June 29,</w:t>
            </w: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color w:val="auto"/>
              </w:rPr>
              <w:t>2024</w:t>
            </w: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20" w:type="dxa"/>
            <w:vAlign w:val="bottom"/>
          </w:tcPr>
          <w:p>
            <w:pPr>
              <w:spacing w:after="0"/>
              <w:rPr>
                <w:sz w:val="14"/>
                <w:szCs w:val="14"/>
                <w:color w:val="auto"/>
              </w:rPr>
            </w:pPr>
          </w:p>
        </w:tc>
      </w:tr>
      <w:tr>
        <w:trPr>
          <w:trHeight w:val="178"/>
        </w:trPr>
        <w:tc>
          <w:tcPr>
            <w:tcW w:w="20" w:type="dxa"/>
            <w:vAlign w:val="bottom"/>
            <w:shd w:val="clear" w:color="auto" w:fill="CCEEFF"/>
          </w:tcPr>
          <w:p>
            <w:pPr>
              <w:spacing w:after="0"/>
              <w:rPr>
                <w:sz w:val="15"/>
                <w:szCs w:val="15"/>
                <w:color w:val="auto"/>
              </w:rPr>
            </w:pPr>
          </w:p>
        </w:tc>
        <w:tc>
          <w:tcPr>
            <w:tcW w:w="792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USD Senior Notes: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Senior Notes due 2025</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302.2</w:t>
            </w:r>
          </w:p>
        </w:tc>
        <w:tc>
          <w:tcPr>
            <w:tcW w:w="4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due 2025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r>
      <w:tr>
        <w:trPr>
          <w:trHeight w:val="209"/>
        </w:trPr>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Senior Notes due 2026</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due 2027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r>
      <w:tr>
        <w:trPr>
          <w:trHeight w:val="209"/>
        </w:trPr>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Senior Notes due 2028</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due 2030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Senior Notes due 2030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1,042.9</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due 2032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r>
      <w:tr>
        <w:trPr>
          <w:trHeight w:val="209"/>
        </w:trPr>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7.850%</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Senior Notes due 2033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1,311.3</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due 2035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729.0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79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6"/>
                <w:szCs w:val="16"/>
                <w:color w:val="auto"/>
              </w:rPr>
              <w:t>EUR Senior Notes: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7300" w:type="dxa"/>
            <w:vAlign w:val="bottom"/>
            <w:gridSpan w:val="2"/>
            <w:shd w:val="clear" w:color="auto" w:fill="CCEEFF"/>
          </w:tcPr>
          <w:p>
            <w:pPr>
              <w:ind w:left="40"/>
              <w:spacing w:after="0" w:line="217" w:lineRule="exact"/>
              <w:rPr>
                <w:sz w:val="20"/>
                <w:szCs w:val="20"/>
                <w:color w:val="auto"/>
              </w:rPr>
            </w:pPr>
            <w:r>
              <w:rPr>
                <w:rFonts w:ascii="Times New Roman" w:cs="Times New Roman" w:eastAsia="Times New Roman" w:hAnsi="Times New Roman"/>
                <w:sz w:val="16"/>
                <w:szCs w:val="16"/>
                <w:color w:val="auto"/>
              </w:rPr>
              <w:t>EUR Senior Notes due 2025</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w:t>
            </w:r>
          </w:p>
        </w:tc>
      </w:tr>
      <w:tr>
        <w:trPr>
          <w:trHeight w:val="209"/>
        </w:trPr>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730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16"/>
                <w:szCs w:val="16"/>
                <w:color w:val="auto"/>
              </w:rPr>
              <w:t>EUR Senior Notes due 2027</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r>
      <w:tr>
        <w:trPr>
          <w:trHeight w:val="209"/>
        </w:trPr>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7300" w:type="dxa"/>
            <w:vAlign w:val="bottom"/>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16"/>
                <w:szCs w:val="16"/>
                <w:color w:val="auto"/>
              </w:rPr>
              <w:t>EUR Senior Notes due 2031</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13868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377" w:lineRule="exact"/>
        <w:rPr>
          <w:sz w:val="20"/>
          <w:szCs w:val="20"/>
          <w:color w:val="auto"/>
        </w:rPr>
      </w:pPr>
    </w:p>
    <w:p>
      <w:pPr>
        <w:ind w:left="282" w:hanging="282"/>
        <w:spacing w:after="0"/>
        <w:tabs>
          <w:tab w:leader="none" w:pos="28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fair values of the Capri Acquisition EUR Senior Notes include the impact of changes in the exchange rate of the United States Dollar against the Euro.</w:t>
      </w:r>
    </w:p>
    <w:p>
      <w:pPr>
        <w:spacing w:after="0" w:line="76" w:lineRule="exact"/>
        <w:rPr>
          <w:rFonts w:ascii="Times New Roman" w:cs="Times New Roman" w:eastAsia="Times New Roman" w:hAnsi="Times New Roman"/>
          <w:sz w:val="21"/>
          <w:szCs w:val="21"/>
          <w:color w:val="auto"/>
          <w:vertAlign w:val="superscript"/>
        </w:rPr>
      </w:pPr>
    </w:p>
    <w:p>
      <w:pPr>
        <w:ind w:left="322" w:hanging="248"/>
        <w:spacing w:after="0"/>
        <w:tabs>
          <w:tab w:leader="none" w:pos="322" w:val="left"/>
        </w:tabs>
        <w:numPr>
          <w:ilvl w:val="1"/>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14" w:lineRule="exact"/>
        <w:rPr>
          <w:sz w:val="20"/>
          <w:szCs w:val="20"/>
          <w:color w:val="auto"/>
        </w:rPr>
      </w:pPr>
    </w:p>
    <w:p>
      <w:pPr>
        <w:ind w:left="2" w:firstLine="294"/>
        <w:spacing w:after="0" w:line="294" w:lineRule="auto"/>
        <w:rPr>
          <w:sz w:val="20"/>
          <w:szCs w:val="20"/>
          <w:color w:val="auto"/>
        </w:rPr>
      </w:pPr>
      <w:r>
        <w:rPr>
          <w:rFonts w:ascii="Times New Roman" w:cs="Times New Roman" w:eastAsia="Times New Roman" w:hAnsi="Times New Roman"/>
          <w:sz w:val="16"/>
          <w:szCs w:val="16"/>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4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Level 1 — Unadjusted quoted prices in active markets for identical assets or liabilities.</w:t>
      </w:r>
    </w:p>
    <w:p>
      <w:pPr>
        <w:spacing w:after="0" w:line="110" w:lineRule="exact"/>
        <w:rPr>
          <w:sz w:val="20"/>
          <w:szCs w:val="20"/>
          <w:color w:val="auto"/>
        </w:rPr>
      </w:pPr>
    </w:p>
    <w:p>
      <w:pPr>
        <w:jc w:val="both"/>
        <w:ind w:left="302"/>
        <w:spacing w:after="0" w:line="287" w:lineRule="auto"/>
        <w:rPr>
          <w:sz w:val="20"/>
          <w:szCs w:val="20"/>
          <w:color w:val="auto"/>
        </w:rPr>
      </w:pPr>
      <w:r>
        <w:rPr>
          <w:rFonts w:ascii="Times New Roman" w:cs="Times New Roman" w:eastAsia="Times New Roman" w:hAnsi="Times New Roman"/>
          <w:sz w:val="16"/>
          <w:szCs w:val="16"/>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247" w:lineRule="exact"/>
        <w:rPr>
          <w:sz w:val="20"/>
          <w:szCs w:val="20"/>
          <w:color w:val="auto"/>
        </w:rPr>
      </w:pPr>
    </w:p>
    <w:p>
      <w:pPr>
        <w:jc w:val="both"/>
        <w:ind w:left="302"/>
        <w:spacing w:after="0" w:line="294" w:lineRule="auto"/>
        <w:rPr>
          <w:sz w:val="20"/>
          <w:szCs w:val="20"/>
          <w:color w:val="auto"/>
        </w:rPr>
      </w:pPr>
      <w:r>
        <w:rPr>
          <w:rFonts w:ascii="Times New Roman" w:cs="Times New Roman" w:eastAsia="Times New Roman" w:hAnsi="Times New Roman"/>
          <w:sz w:val="16"/>
          <w:szCs w:val="16"/>
          <w:color w:val="auto"/>
        </w:rPr>
        <w:t>Level 3 — Unobservable inputs reflecting management’s own assumptions about the input used in pricing the asset or liability. The Company does not have any Level 3 investments.</w:t>
      </w:r>
    </w:p>
    <w:p>
      <w:pPr>
        <w:spacing w:after="0" w:line="200" w:lineRule="exact"/>
        <w:rPr>
          <w:sz w:val="20"/>
          <w:szCs w:val="20"/>
          <w:color w:val="auto"/>
        </w:rPr>
      </w:pPr>
    </w:p>
    <w:p>
      <w:pPr>
        <w:spacing w:after="0" w:line="2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7" w:name="page28"/>
    <w:bookmarkEnd w:id="27"/>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 shows the fair value measurements of the Company’s financial assets and liabilities at December 28, 2024 and June 29, 2024:</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20" w:type="dxa"/>
            <w:vAlign w:val="bottom"/>
            <w:tcBorders>
              <w:bottom w:val="single" w:sz="8" w:color="auto"/>
            </w:tcBorders>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400" w:type="dxa"/>
            <w:vAlign w:val="bottom"/>
          </w:tcPr>
          <w:p>
            <w:pPr>
              <w:spacing w:after="0"/>
              <w:rPr>
                <w:sz w:val="13"/>
                <w:szCs w:val="13"/>
                <w:color w:val="auto"/>
              </w:rPr>
            </w:pPr>
          </w:p>
        </w:tc>
        <w:tc>
          <w:tcPr>
            <w:tcW w:w="1120" w:type="dxa"/>
            <w:vAlign w:val="bottom"/>
          </w:tcPr>
          <w:p>
            <w:pPr>
              <w:jc w:val="right"/>
              <w:ind w:right="359"/>
              <w:spacing w:after="0" w:line="152" w:lineRule="exact"/>
              <w:rPr>
                <w:sz w:val="20"/>
                <w:szCs w:val="20"/>
                <w:color w:val="auto"/>
              </w:rPr>
            </w:pPr>
            <w:r>
              <w:rPr>
                <w:rFonts w:ascii="Times New Roman" w:cs="Times New Roman" w:eastAsia="Times New Roman" w:hAnsi="Times New Roman"/>
                <w:sz w:val="16"/>
                <w:szCs w:val="16"/>
                <w:color w:val="auto"/>
              </w:rPr>
              <w:t>June 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420" w:type="dxa"/>
            <w:vAlign w:val="bottom"/>
          </w:tcPr>
          <w:p>
            <w:pPr>
              <w:spacing w:after="0"/>
              <w:rPr>
                <w:sz w:val="13"/>
                <w:szCs w:val="13"/>
                <w:color w:val="auto"/>
              </w:rPr>
            </w:pPr>
          </w:p>
        </w:tc>
        <w:tc>
          <w:tcPr>
            <w:tcW w:w="1120" w:type="dxa"/>
            <w:vAlign w:val="bottom"/>
          </w:tcPr>
          <w:p>
            <w:pPr>
              <w:jc w:val="right"/>
              <w:ind w:right="378"/>
              <w:spacing w:after="0" w:line="152" w:lineRule="exact"/>
              <w:rPr>
                <w:sz w:val="20"/>
                <w:szCs w:val="20"/>
                <w:color w:val="auto"/>
              </w:rPr>
            </w:pPr>
            <w:r>
              <w:rPr>
                <w:rFonts w:ascii="Times New Roman" w:cs="Times New Roman" w:eastAsia="Times New Roman" w:hAnsi="Times New Roman"/>
                <w:sz w:val="16"/>
                <w:szCs w:val="16"/>
                <w:color w:val="auto"/>
              </w:rPr>
              <w:t>June 29,</w:t>
            </w: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color w:val="auto"/>
              </w:rPr>
              <w:t>2024</w:t>
            </w: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4"/>
        </w:trPr>
        <w:tc>
          <w:tcPr>
            <w:tcW w:w="5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508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16"/>
                <w:szCs w:val="16"/>
                <w:color w:val="auto"/>
              </w:rPr>
              <w:t>Cash equivalents</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195.2</w:t>
            </w:r>
          </w:p>
        </w:tc>
        <w:tc>
          <w:tcPr>
            <w:tcW w:w="4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4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189"/>
        </w:trPr>
        <w:tc>
          <w:tcPr>
            <w:tcW w:w="508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3"/>
          </w:tcPr>
          <w:p>
            <w:pPr>
              <w:ind w:left="180"/>
              <w:spacing w:after="0" w:line="209" w:lineRule="exact"/>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1"/>
                <w:szCs w:val="21"/>
                <w:color w:val="auto"/>
                <w:vertAlign w:val="superscript"/>
              </w:rPr>
              <w:t>(2)</w:t>
            </w:r>
          </w:p>
        </w:tc>
        <w:tc>
          <w:tcPr>
            <w:tcW w:w="3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Commercial paper</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w:t>
            </w:r>
          </w:p>
        </w:tc>
      </w:tr>
      <w:tr>
        <w:trPr>
          <w:trHeight w:val="209"/>
        </w:trPr>
        <w:tc>
          <w:tcPr>
            <w:tcW w:w="20" w:type="dxa"/>
            <w:vAlign w:val="bottom"/>
          </w:tcPr>
          <w:p>
            <w:pPr>
              <w:spacing w:after="0"/>
              <w:rPr>
                <w:sz w:val="18"/>
                <w:szCs w:val="18"/>
                <w:color w:val="auto"/>
              </w:rPr>
            </w:pPr>
          </w:p>
        </w:tc>
        <w:tc>
          <w:tcPr>
            <w:tcW w:w="5060" w:type="dxa"/>
            <w:vAlign w:val="bottom"/>
            <w:gridSpan w:val="4"/>
          </w:tcPr>
          <w:p>
            <w:pPr>
              <w:ind w:left="180"/>
              <w:spacing w:after="0" w:line="209" w:lineRule="exact"/>
              <w:rPr>
                <w:sz w:val="20"/>
                <w:szCs w:val="20"/>
                <w:color w:val="auto"/>
              </w:rPr>
            </w:pPr>
            <w:r>
              <w:rPr>
                <w:rFonts w:ascii="Times New Roman" w:cs="Times New Roman" w:eastAsia="Times New Roman" w:hAnsi="Times New Roman"/>
                <w:sz w:val="16"/>
                <w:szCs w:val="16"/>
                <w:color w:val="auto"/>
              </w:rPr>
              <w:t>Government securities - U.S.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Corporate debt securities - U.S.</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5060" w:type="dxa"/>
            <w:vAlign w:val="bottom"/>
            <w:gridSpan w:val="4"/>
          </w:tcPr>
          <w:p>
            <w:pPr>
              <w:ind w:left="180"/>
              <w:spacing w:after="0" w:line="209" w:lineRule="exact"/>
              <w:rPr>
                <w:sz w:val="20"/>
                <w:szCs w:val="20"/>
                <w:color w:val="auto"/>
              </w:rPr>
            </w:pPr>
            <w:r>
              <w:rPr>
                <w:rFonts w:ascii="Times New Roman" w:cs="Times New Roman" w:eastAsia="Times New Roman" w:hAnsi="Times New Roman"/>
                <w:sz w:val="16"/>
                <w:szCs w:val="16"/>
                <w:color w:val="auto"/>
              </w:rPr>
              <w:t>Corporate debt securities - non U.S.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180"/>
        </w:trPr>
        <w:tc>
          <w:tcPr>
            <w:tcW w:w="508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6"/>
                <w:szCs w:val="16"/>
                <w:color w:val="auto"/>
              </w:rPr>
              <w:t>Long-term investments: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152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72"/>
        </w:trPr>
        <w:tc>
          <w:tcPr>
            <w:tcW w:w="508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line="217" w:lineRule="exact"/>
              <w:rPr>
                <w:sz w:val="20"/>
                <w:szCs w:val="20"/>
                <w:color w:val="auto"/>
              </w:rPr>
            </w:pPr>
            <w:r>
              <w:rPr>
                <w:rFonts w:ascii="Times New Roman" w:cs="Times New Roman" w:eastAsia="Times New Roman" w:hAnsi="Times New Roman"/>
                <w:sz w:val="16"/>
                <w:szCs w:val="16"/>
                <w:color w:val="auto"/>
              </w:rPr>
              <w:t>Inventory-related instruments</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9"/>
        </w:trPr>
        <w:tc>
          <w:tcPr>
            <w:tcW w:w="20" w:type="dxa"/>
            <w:vAlign w:val="bottom"/>
          </w:tcPr>
          <w:p>
            <w:pPr>
              <w:spacing w:after="0"/>
              <w:rPr>
                <w:sz w:val="18"/>
                <w:szCs w:val="18"/>
                <w:color w:val="auto"/>
              </w:rPr>
            </w:pPr>
          </w:p>
        </w:tc>
        <w:tc>
          <w:tcPr>
            <w:tcW w:w="5060" w:type="dxa"/>
            <w:vAlign w:val="bottom"/>
            <w:gridSpan w:val="4"/>
          </w:tcPr>
          <w:p>
            <w:pPr>
              <w:ind w:left="180"/>
              <w:spacing w:after="0" w:line="209" w:lineRule="exact"/>
              <w:rPr>
                <w:sz w:val="20"/>
                <w:szCs w:val="20"/>
                <w:color w:val="auto"/>
              </w:rPr>
            </w:pPr>
            <w:r>
              <w:rPr>
                <w:rFonts w:ascii="Times New Roman" w:cs="Times New Roman" w:eastAsia="Times New Roman" w:hAnsi="Times New Roman"/>
                <w:sz w:val="16"/>
                <w:szCs w:val="16"/>
                <w:color w:val="auto"/>
              </w:rPr>
              <w:t>Net investment hedges</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Intercompany loans and payables</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50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2"/>
        </w:trPr>
        <w:tc>
          <w:tcPr>
            <w:tcW w:w="508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37"/>
        </w:trPr>
        <w:tc>
          <w:tcPr>
            <w:tcW w:w="20" w:type="dxa"/>
            <w:vAlign w:val="bottom"/>
            <w:shd w:val="clear" w:color="auto" w:fill="CCEEFF"/>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5060" w:type="dxa"/>
            <w:vAlign w:val="bottom"/>
            <w:gridSpan w:val="4"/>
          </w:tcPr>
          <w:p>
            <w:pPr>
              <w:ind w:left="180"/>
              <w:spacing w:after="0" w:line="209" w:lineRule="exact"/>
              <w:rPr>
                <w:sz w:val="20"/>
                <w:szCs w:val="20"/>
                <w:color w:val="auto"/>
              </w:rPr>
            </w:pPr>
            <w:r>
              <w:rPr>
                <w:rFonts w:ascii="Times New Roman" w:cs="Times New Roman" w:eastAsia="Times New Roman" w:hAnsi="Times New Roman"/>
                <w:sz w:val="16"/>
                <w:szCs w:val="16"/>
                <w:color w:val="auto"/>
              </w:rPr>
              <w:t>Inventory-related instruments</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Net investment hedges</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81"/>
        </w:trPr>
        <w:tc>
          <w:tcPr>
            <w:tcW w:w="20" w:type="dxa"/>
            <w:vAlign w:val="bottom"/>
          </w:tcPr>
          <w:p>
            <w:pPr>
              <w:spacing w:after="0"/>
              <w:rPr>
                <w:sz w:val="24"/>
                <w:szCs w:val="24"/>
                <w:color w:val="auto"/>
              </w:rPr>
            </w:pPr>
          </w:p>
        </w:tc>
        <w:tc>
          <w:tcPr>
            <w:tcW w:w="50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Intercompany loans and payables</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24"/>
                <w:szCs w:val="24"/>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13868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333" w:lineRule="exact"/>
        <w:rPr>
          <w:sz w:val="20"/>
          <w:szCs w:val="20"/>
          <w:color w:val="auto"/>
        </w:rPr>
      </w:pPr>
    </w:p>
    <w:p>
      <w:pPr>
        <w:ind w:left="302" w:right="20" w:hanging="302"/>
        <w:spacing w:after="0" w:line="231" w:lineRule="auto"/>
        <w:tabs>
          <w:tab w:leader="none" w:pos="29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equivalents generally consists of money market funds and time deposits with maturities of three months or less at the date of purchase. Due to their short-term maturity, management believes that their carrying value approximates fair value.</w:t>
      </w:r>
    </w:p>
    <w:p>
      <w:pPr>
        <w:spacing w:after="0" w:line="81" w:lineRule="exact"/>
        <w:rPr>
          <w:rFonts w:ascii="Times New Roman" w:cs="Times New Roman" w:eastAsia="Times New Roman" w:hAnsi="Times New Roman"/>
          <w:sz w:val="21"/>
          <w:szCs w:val="21"/>
          <w:color w:val="auto"/>
          <w:vertAlign w:val="superscript"/>
        </w:rPr>
      </w:pPr>
    </w:p>
    <w:p>
      <w:pPr>
        <w:ind w:left="302" w:hanging="302"/>
        <w:spacing w:after="0" w:line="231" w:lineRule="auto"/>
        <w:tabs>
          <w:tab w:leader="none" w:pos="29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Short-term investments are recorded at fair value, which approximates their carrying value, and are primarily based upon quoted vendor or broker priced securities in active markets.</w:t>
      </w:r>
    </w:p>
    <w:p>
      <w:pPr>
        <w:spacing w:after="0" w:line="81" w:lineRule="exact"/>
        <w:rPr>
          <w:rFonts w:ascii="Times New Roman" w:cs="Times New Roman" w:eastAsia="Times New Roman" w:hAnsi="Times New Roman"/>
          <w:sz w:val="21"/>
          <w:szCs w:val="21"/>
          <w:color w:val="auto"/>
          <w:vertAlign w:val="superscript"/>
        </w:rPr>
      </w:pPr>
    </w:p>
    <w:p>
      <w:pPr>
        <w:ind w:left="302" w:right="20" w:hanging="302"/>
        <w:spacing w:after="0" w:line="231" w:lineRule="auto"/>
        <w:tabs>
          <w:tab w:leader="none" w:pos="29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fair value of these hedges is primarily based on the forward curves of the specific indices upon which settlement is based and includes an adjustment for the counterparty’s or Company’s credit risk.</w:t>
      </w:r>
    </w:p>
    <w:p>
      <w:pPr>
        <w:spacing w:after="0" w:line="81" w:lineRule="exact"/>
        <w:rPr>
          <w:rFonts w:ascii="Times New Roman" w:cs="Times New Roman" w:eastAsia="Times New Roman" w:hAnsi="Times New Roman"/>
          <w:sz w:val="21"/>
          <w:szCs w:val="21"/>
          <w:color w:val="auto"/>
          <w:vertAlign w:val="superscript"/>
        </w:rPr>
      </w:pPr>
    </w:p>
    <w:p>
      <w:pPr>
        <w:ind w:left="302"/>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11, "Debt," for the fair value of the Company's outstanding debt instruments.</w:t>
      </w:r>
    </w:p>
    <w:p>
      <w:pPr>
        <w:spacing w:after="0" w:line="106" w:lineRule="exact"/>
        <w:rPr>
          <w:rFonts w:ascii="Times New Roman" w:cs="Times New Roman" w:eastAsia="Times New Roman" w:hAnsi="Times New Roman"/>
          <w:sz w:val="21"/>
          <w:szCs w:val="21"/>
          <w:color w:val="auto"/>
          <w:vertAlign w:val="superscript"/>
        </w:rPr>
      </w:pPr>
    </w:p>
    <w:p>
      <w:pPr>
        <w:ind w:left="302"/>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i w:val="1"/>
          <w:iCs w:val="1"/>
          <w:color w:val="auto"/>
        </w:rPr>
        <w:t>Non-Financial Assets and Liabilities</w:t>
      </w:r>
    </w:p>
    <w:p>
      <w:pPr>
        <w:spacing w:after="0" w:line="114" w:lineRule="exact"/>
        <w:rPr>
          <w:sz w:val="20"/>
          <w:szCs w:val="20"/>
          <w:color w:val="auto"/>
        </w:rPr>
      </w:pPr>
    </w:p>
    <w:p>
      <w:pPr>
        <w:jc w:val="both"/>
        <w:ind w:left="2" w:right="20" w:firstLine="294"/>
        <w:spacing w:after="0" w:line="265" w:lineRule="auto"/>
        <w:rPr>
          <w:sz w:val="20"/>
          <w:szCs w:val="20"/>
          <w:color w:val="auto"/>
        </w:rPr>
      </w:pPr>
      <w:r>
        <w:rPr>
          <w:rFonts w:ascii="Times New Roman" w:cs="Times New Roman" w:eastAsia="Times New Roman" w:hAnsi="Times New Roman"/>
          <w:sz w:val="16"/>
          <w:szCs w:val="16"/>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There were no impairment charges recorded during the three and six months ended December 28, 2024 and December 30, 2023.</w:t>
      </w:r>
    </w:p>
    <w:p>
      <w:pPr>
        <w:spacing w:after="0" w:line="200" w:lineRule="exact"/>
        <w:rPr>
          <w:sz w:val="20"/>
          <w:szCs w:val="20"/>
          <w:color w:val="auto"/>
        </w:rPr>
      </w:pPr>
    </w:p>
    <w:p>
      <w:pPr>
        <w:spacing w:after="0" w:line="30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2"/>
          </w:cols>
          <w:pgMar w:left="318" w:top="119" w:right="319" w:bottom="1440" w:gutter="0" w:footer="0" w:header="0"/>
        </w:sectPr>
      </w:pPr>
    </w:p>
    <w:bookmarkStart w:id="28" w:name="page29"/>
    <w:bookmarkEnd w:id="2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6"/>
          <w:szCs w:val="16"/>
          <w:b w:val="1"/>
          <w:bCs w:val="1"/>
          <w:color w:val="auto"/>
        </w:rPr>
        <w:t>13. INVESTMENTS</w:t>
      </w:r>
    </w:p>
    <w:p>
      <w:pPr>
        <w:spacing w:after="0" w:line="114"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color w:val="auto"/>
        </w:rPr>
        <w:t>The following table summarizes the Company’s U.S. dollar-denominated investments, recorded within the Company's Condensed Consolidated Balance Sheets as of</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December 28, 2024 and June 29, 2024:</w:t>
      </w:r>
    </w:p>
    <w:p>
      <w:pPr>
        <w:spacing w:after="0" w:line="126"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June 29, 2024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6"/>
                <w:szCs w:val="16"/>
                <w:b w:val="1"/>
                <w:bCs w:val="1"/>
                <w:color w:val="auto"/>
                <w:w w:val="95"/>
              </w:rPr>
              <w:t>Long-term</w:t>
            </w:r>
            <w:r>
              <w:rPr>
                <w:rFonts w:ascii="Times New Roman" w:cs="Times New Roman" w:eastAsia="Times New Roman" w:hAnsi="Times New Roman"/>
                <w:sz w:val="21"/>
                <w:szCs w:val="21"/>
                <w:b w:val="1"/>
                <w:bCs w:val="1"/>
                <w:color w:val="auto"/>
                <w:w w:val="95"/>
                <w:vertAlign w:val="superscript"/>
              </w:rPr>
              <w:t>(2)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Short-term</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6"/>
                <w:szCs w:val="16"/>
                <w:color w:val="auto"/>
                <w:w w:val="96"/>
              </w:rPr>
              <w:t>Long-term</w:t>
            </w:r>
            <w:r>
              <w:rPr>
                <w:rFonts w:ascii="Times New Roman" w:cs="Times New Roman" w:eastAsia="Times New Roman" w:hAnsi="Times New Roman"/>
                <w:sz w:val="21"/>
                <w:szCs w:val="21"/>
                <w:color w:val="auto"/>
                <w:w w:val="96"/>
                <w:vertAlign w:val="superscript"/>
              </w:rPr>
              <w:t>(2)</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gridSpan w:val="2"/>
          </w:tcPr>
          <w:p>
            <w:pPr>
              <w:ind w:left="220"/>
              <w:spacing w:after="0" w:line="209" w:lineRule="exact"/>
              <w:rPr>
                <w:sz w:val="20"/>
                <w:szCs w:val="20"/>
                <w:color w:val="auto"/>
              </w:rPr>
            </w:pPr>
            <w:r>
              <w:rPr>
                <w:rFonts w:ascii="Times New Roman" w:cs="Times New Roman" w:eastAsia="Times New Roman" w:hAnsi="Times New Roman"/>
                <w:sz w:val="16"/>
                <w:szCs w:val="16"/>
                <w:color w:val="auto"/>
              </w:rPr>
              <w:t>Commercial paper</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w:t>
            </w: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20"/>
              <w:spacing w:after="0" w:line="209" w:lineRule="exact"/>
              <w:rPr>
                <w:sz w:val="20"/>
                <w:szCs w:val="20"/>
                <w:color w:val="auto"/>
              </w:rPr>
            </w:pPr>
            <w:r>
              <w:rPr>
                <w:rFonts w:ascii="Times New Roman" w:cs="Times New Roman" w:eastAsia="Times New Roman" w:hAnsi="Times New Roman"/>
                <w:sz w:val="16"/>
                <w:szCs w:val="16"/>
                <w:color w:val="auto"/>
              </w:rPr>
              <w:t>Government securities - U.S.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09"/>
        </w:trPr>
        <w:tc>
          <w:tcPr>
            <w:tcW w:w="3420" w:type="dxa"/>
            <w:vAlign w:val="bottom"/>
            <w:gridSpan w:val="2"/>
          </w:tcPr>
          <w:p>
            <w:pPr>
              <w:ind w:left="220"/>
              <w:spacing w:after="0" w:line="209" w:lineRule="exact"/>
              <w:rPr>
                <w:sz w:val="20"/>
                <w:szCs w:val="20"/>
                <w:color w:val="auto"/>
              </w:rPr>
            </w:pPr>
            <w:r>
              <w:rPr>
                <w:rFonts w:ascii="Times New Roman" w:cs="Times New Roman" w:eastAsia="Times New Roman" w:hAnsi="Times New Roman"/>
                <w:sz w:val="16"/>
                <w:szCs w:val="16"/>
                <w:color w:val="auto"/>
              </w:rPr>
              <w:t>Corporate debt securities - U.S.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420" w:type="dxa"/>
            <w:vAlign w:val="bottom"/>
            <w:tcBorders>
              <w:top w:val="single" w:sz="8" w:color="CCEEFF"/>
              <w:bottom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Available-for-sale investments, total</w:t>
            </w: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8"/>
              <w:spacing w:after="0" w:line="177"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1,043.4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20"/>
              <w:spacing w:after="0" w:line="209" w:lineRule="exact"/>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26"/>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82" w:hanging="282"/>
        <w:spacing w:after="0"/>
        <w:tabs>
          <w:tab w:leader="none" w:pos="282"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securities, as of period end, have maturity dates during their respective fiscal years and are recorded at fair value.</w:t>
      </w:r>
    </w:p>
    <w:p>
      <w:pPr>
        <w:spacing w:after="0" w:line="74" w:lineRule="exact"/>
        <w:rPr>
          <w:rFonts w:ascii="Times New Roman" w:cs="Times New Roman" w:eastAsia="Times New Roman" w:hAnsi="Times New Roman"/>
          <w:sz w:val="21"/>
          <w:szCs w:val="21"/>
          <w:color w:val="auto"/>
          <w:vertAlign w:val="superscript"/>
        </w:rPr>
      </w:pPr>
    </w:p>
    <w:p>
      <w:pPr>
        <w:ind w:left="282" w:hanging="282"/>
        <w:spacing w:after="0" w:line="218" w:lineRule="auto"/>
        <w:tabs>
          <w:tab w:leader="none" w:pos="282"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Long-term investments are presented within Other assets on the Condensed Consolidated Balance Sheets.</w:t>
      </w:r>
    </w:p>
    <w:p>
      <w:pPr>
        <w:spacing w:after="0" w:line="81" w:lineRule="exact"/>
        <w:rPr>
          <w:sz w:val="20"/>
          <w:szCs w:val="20"/>
          <w:color w:val="auto"/>
        </w:rPr>
      </w:pPr>
    </w:p>
    <w:p>
      <w:pPr>
        <w:jc w:val="both"/>
        <w:ind w:left="2" w:firstLine="294"/>
        <w:spacing w:after="0" w:line="269" w:lineRule="auto"/>
        <w:rPr>
          <w:sz w:val="20"/>
          <w:szCs w:val="20"/>
          <w:color w:val="auto"/>
        </w:rPr>
      </w:pPr>
      <w:r>
        <w:rPr>
          <w:rFonts w:ascii="Times New Roman" w:cs="Times New Roman" w:eastAsia="Times New Roman" w:hAnsi="Times New Roman"/>
          <w:sz w:val="16"/>
          <w:szCs w:val="16"/>
          <w:color w:val="auto"/>
        </w:rPr>
        <w:t>The Company recognized a pre-tax gain of $2.1 million and $2.6 million on available-for-sale investments during the three and six months ended December 28, 2024, respectively. These gains are included within Other expense (income) on the Condensed Consolidated Statements of Operations. Additionally, the Company has no material unrealized gains on available-for-sale investments as of December 28, 2024 included within Comprehensive income (loss) on the Condensed Consolidated Statements of Comprehensive Income (Loss).</w:t>
      </w:r>
    </w:p>
    <w:p>
      <w:pPr>
        <w:spacing w:after="0" w:line="59"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There were no material gross realized and unrealized gains or losses on available-for-sale investments as of the period ended June 29, 2024.</w:t>
      </w:r>
    </w:p>
    <w:p>
      <w:pPr>
        <w:spacing w:after="0" w:line="106"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114"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The Company's effective tax rate for the three and six months ended December 28, 2024, was 10.1% and 13.0%, respectively. The Company's effective tax rate for the three and six months ended December 30, 2023, was 20.0% and 19.4%, respectively. The decrease in effective tax rate for the three and six months ended December 28, 2024 as compared to the three and six months ended December 30, 2023 was primarily due to discrete items recorded during the period and geographic mix of earnings.</w:t>
      </w:r>
    </w:p>
    <w:p>
      <w:pPr>
        <w:spacing w:after="0" w:line="149"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11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Capri Holdings Limited Merger Agreement</w:t>
      </w:r>
    </w:p>
    <w:p>
      <w:pPr>
        <w:spacing w:after="0" w:line="114" w:lineRule="exact"/>
        <w:rPr>
          <w:sz w:val="20"/>
          <w:szCs w:val="20"/>
          <w:color w:val="auto"/>
        </w:rPr>
      </w:pPr>
    </w:p>
    <w:p>
      <w:pPr>
        <w:jc w:val="both"/>
        <w:ind w:left="2" w:firstLine="221"/>
        <w:spacing w:after="0" w:line="272" w:lineRule="auto"/>
        <w:rPr>
          <w:sz w:val="20"/>
          <w:szCs w:val="20"/>
          <w:color w:val="auto"/>
        </w:rPr>
      </w:pPr>
      <w:r>
        <w:rPr>
          <w:rFonts w:ascii="Times New Roman" w:cs="Times New Roman" w:eastAsia="Times New Roman" w:hAnsi="Times New Roman"/>
          <w:sz w:val="16"/>
          <w:szCs w:val="16"/>
          <w:color w:val="auto"/>
        </w:rPr>
        <w:t>On August 10, 2023, the Company entered into the Merger Agreement. On November 13, 2024, the Company entered into the Termination Agreement, pursuant to which the Merger Agreement was terminated, effective immediately. The Parties also agreed to release each other from claims, demands, damages, actions, causes of action and liability relating to or arising out of the Merger Agreement and the transactions contemplated therein or thereby. Refer to Note 5, "Acquisitions" for further information.</w:t>
      </w:r>
    </w:p>
    <w:p>
      <w:pPr>
        <w:spacing w:after="0" w:line="254"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Letters of Credit</w:t>
      </w:r>
    </w:p>
    <w:p>
      <w:pPr>
        <w:spacing w:after="0" w:line="114"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The Company had standby letters of credit, surety bonds and bank guarantees totaling $25.9 million and $28.4 million outstanding at December 28, 2024 and June 29, 2024, respectively. The agreements, which expire at various dates through fiscal year 2040, primarily collateralize the Company's obligation to third parties for duty, leases, insurance claims and materials used in product manufacturing. The Company pays certain fees with respect to these instruments that are issued.</w:t>
      </w:r>
    </w:p>
    <w:p>
      <w:pPr>
        <w:spacing w:after="0" w:line="200" w:lineRule="exact"/>
        <w:rPr>
          <w:sz w:val="20"/>
          <w:szCs w:val="20"/>
          <w:color w:val="auto"/>
        </w:rPr>
      </w:pPr>
    </w:p>
    <w:p>
      <w:pPr>
        <w:spacing w:after="0" w:line="29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Other</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had other contractual cash obligations as of December 28, 2024 related to debt repayments. Refer to Note 11, "Debt," for further information.</w:t>
      </w:r>
    </w:p>
    <w:p>
      <w:pPr>
        <w:spacing w:after="0" w:line="11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contractual disputes, insurance claims and litigation with present or former employees.</w:t>
      </w:r>
    </w:p>
    <w:p>
      <w:pPr>
        <w:spacing w:after="0" w:line="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w:t>
      </w:r>
    </w:p>
    <w:p>
      <w:pPr>
        <w:spacing w:after="0" w:line="55"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On December 23, 2024 and January 28, 2025, two separate putative securities class actions were filed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The Company intends to vigorously defend itself in these matters.</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16. SEGMENT INFORMATION</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has three reportable segments:</w:t>
      </w:r>
    </w:p>
    <w:p>
      <w:pPr>
        <w:spacing w:after="0" w:line="108" w:lineRule="exact"/>
        <w:rPr>
          <w:sz w:val="20"/>
          <w:szCs w:val="20"/>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Coach </w:t>
      </w:r>
      <w:r>
        <w:rPr>
          <w:rFonts w:ascii="Times New Roman" w:cs="Times New Roman" w:eastAsia="Times New Roman" w:hAnsi="Times New Roman"/>
          <w:sz w:val="16"/>
          <w:szCs w:val="16"/>
          <w:color w:val="auto"/>
        </w:rPr>
        <w:t>- Includes global sales primarily of Coach brand products to customers through our DTC, wholesale and licensing businesses.</w:t>
      </w:r>
    </w:p>
    <w:p>
      <w:pPr>
        <w:spacing w:after="0" w:line="110"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Kate Spade </w:t>
      </w:r>
      <w:r>
        <w:rPr>
          <w:rFonts w:ascii="Times New Roman" w:cs="Times New Roman" w:eastAsia="Times New Roman" w:hAnsi="Times New Roman"/>
          <w:sz w:val="16"/>
          <w:szCs w:val="16"/>
          <w:color w:val="auto"/>
        </w:rPr>
        <w:t>- Includes global sales primarily of kate spade new york brand products to customers through our DTC, wholesale and licensing businesses.</w:t>
      </w:r>
    </w:p>
    <w:p>
      <w:pPr>
        <w:spacing w:after="0" w:line="110"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Stuart Weitzman - </w:t>
      </w:r>
      <w:r>
        <w:rPr>
          <w:rFonts w:ascii="Times New Roman" w:cs="Times New Roman" w:eastAsia="Times New Roman" w:hAnsi="Times New Roman"/>
          <w:sz w:val="16"/>
          <w:szCs w:val="16"/>
          <w:color w:val="auto"/>
        </w:rPr>
        <w:t>Includes global sales of Stuart Weitzman brand products primarily through our DTC, wholesale and licensing businesses.</w:t>
      </w:r>
    </w:p>
    <w:p>
      <w:pPr>
        <w:spacing w:after="0" w:line="112"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deciding how to allocate resources and assess performance, the Company's chief operating decision maker regularly evaluates operating profit of these segments. Segment operating profit is the gross profit of the segment less direct expenses of the segment. Total expenditures for additions to long-lived assets are not disclosed as this information is not regularly provided to the chief operating decision maker at the segment level.</w:t>
      </w:r>
    </w:p>
    <w:p>
      <w:pPr>
        <w:spacing w:after="0" w:line="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addition to these reportable segments, the Company has certain corporate expenses that are not directly attributable to its brands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summarizes net sales of each of the Company's segments for the three and six months ended December 28, 2024 and December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3560" w:type="dxa"/>
            <w:vAlign w:val="bottom"/>
            <w:gridSpan w:val="4"/>
          </w:tcPr>
          <w:p>
            <w:pPr>
              <w:jc w:val="right"/>
              <w:ind w:right="117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35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December 30, 2023</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December 30, 2023</w:t>
            </w:r>
          </w:p>
        </w:tc>
      </w:tr>
      <w:tr>
        <w:trPr>
          <w:trHeight w:val="17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net sales: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9"/>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1,709.3</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2,879.9</w:t>
            </w:r>
          </w:p>
        </w:tc>
        <w:tc>
          <w:tcPr>
            <w:tcW w:w="8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2,699.3</w:t>
            </w:r>
          </w:p>
        </w:tc>
      </w:tr>
      <w:tr>
        <w:trPr>
          <w:trHeight w:val="20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Kate Spade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209"/>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Stuart Weitzman</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26"/>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27</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2"/>
        </w:trPr>
        <w:tc>
          <w:tcPr>
            <w:tcW w:w="3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TAPESTRY, INC.</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 w:firstLine="294"/>
        <w:spacing w:after="0" w:line="294" w:lineRule="auto"/>
        <w:rPr>
          <w:sz w:val="20"/>
          <w:szCs w:val="20"/>
          <w:color w:val="auto"/>
        </w:rPr>
      </w:pPr>
      <w:r>
        <w:rPr>
          <w:rFonts w:ascii="Times New Roman" w:cs="Times New Roman" w:eastAsia="Times New Roman" w:hAnsi="Times New Roman"/>
          <w:sz w:val="16"/>
          <w:szCs w:val="16"/>
          <w:color w:val="auto"/>
        </w:rPr>
        <w:t>The following table summarizes segment operating profit of each of the Company's segments and reconciliation to Income (loss) before provision for income taxes for the three and six months ended December 28, 2024 and December 30, 2023:</w:t>
      </w:r>
    </w:p>
    <w:p>
      <w:pPr>
        <w:spacing w:after="0" w:line="7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3560" w:type="dxa"/>
            <w:vAlign w:val="bottom"/>
            <w:gridSpan w:val="4"/>
          </w:tcPr>
          <w:p>
            <w:pPr>
              <w:jc w:val="right"/>
              <w:ind w:right="117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December 30, 2023</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620.9</w:t>
            </w:r>
          </w:p>
        </w:tc>
        <w:tc>
          <w:tcPr>
            <w:tcW w:w="8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528.3</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1,007.5</w:t>
            </w:r>
          </w:p>
        </w:tc>
        <w:tc>
          <w:tcPr>
            <w:tcW w:w="8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Kate Spade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Stuart Weitzman</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26"/>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segment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1,094.1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20"/>
              <w:spacing w:after="0" w:line="218" w:lineRule="exact"/>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195.1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154.2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349.3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290.3</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Unallocated other charges, net</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01"/>
        </w:trPr>
        <w:tc>
          <w:tcPr>
            <w:tcW w:w="3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571.0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 summarizes depreciation and amortization expense of each of the Company's segments for the three and six months ended December 28, 2024 and</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December 30, 2023:</w:t>
      </w:r>
    </w:p>
    <w:p>
      <w:pPr>
        <w:spacing w:after="0" w:line="126"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3560" w:type="dxa"/>
            <w:vAlign w:val="bottom"/>
            <w:gridSpan w:val="3"/>
          </w:tcPr>
          <w:p>
            <w:pPr>
              <w:jc w:val="right"/>
              <w:ind w:right="117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December 30, 2023</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December 30, 2023</w:t>
            </w:r>
          </w:p>
        </w:tc>
      </w:tr>
      <w:tr>
        <w:trPr>
          <w:trHeight w:val="171"/>
        </w:trPr>
        <w:tc>
          <w:tcPr>
            <w:tcW w:w="2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ind w:left="14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4"/>
        </w:trPr>
        <w:tc>
          <w:tcPr>
            <w:tcW w:w="3540" w:type="dxa"/>
            <w:vAlign w:val="bottom"/>
            <w:gridSpan w:val="2"/>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b w:val="1"/>
                <w:bCs w:val="1"/>
                <w:color w:val="auto"/>
              </w:rPr>
              <w:t>Depreciation and amortization expense</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9"/>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09"/>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Kate Spade</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w w:val="99"/>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09"/>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Stuart Weitzman</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26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3540" w:type="dxa"/>
            <w:vAlign w:val="bottom"/>
            <w:gridSpan w:val="2"/>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Unallocated corporate</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1"/>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Total Depreciation and amortization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0"/>
        </w:trPr>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12"/>
        </w:trPr>
        <w:tc>
          <w:tcPr>
            <w:tcW w:w="218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r>
    </w:tbl>
    <w:p>
      <w:pPr>
        <w:spacing w:after="0" w:line="140" w:lineRule="exact"/>
        <w:rPr>
          <w:sz w:val="20"/>
          <w:szCs w:val="20"/>
          <w:color w:val="auto"/>
        </w:rPr>
      </w:pPr>
    </w:p>
    <w:p>
      <w:pPr>
        <w:ind w:left="222" w:hanging="222"/>
        <w:spacing w:after="0"/>
        <w:tabs>
          <w:tab w:leader="none" w:pos="222"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expenses, which is not a reportable segment, represents certain expenses that are not directly attributable to its brands.</w:t>
      </w:r>
    </w:p>
    <w:p>
      <w:pPr>
        <w:spacing w:after="0" w:line="62" w:lineRule="exact"/>
        <w:rPr>
          <w:rFonts w:ascii="Times New Roman" w:cs="Times New Roman" w:eastAsia="Times New Roman" w:hAnsi="Times New Roman"/>
          <w:sz w:val="21"/>
          <w:szCs w:val="21"/>
          <w:color w:val="auto"/>
          <w:vertAlign w:val="superscript"/>
        </w:rPr>
      </w:pPr>
    </w:p>
    <w:p>
      <w:pPr>
        <w:ind w:left="222" w:hanging="222"/>
        <w:spacing w:after="0" w:line="230" w:lineRule="auto"/>
        <w:tabs>
          <w:tab w:leader="none" w:pos="222"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Loss on extinguishment of debt, Interest expense, net, and Other expense (income).</w:t>
      </w:r>
    </w:p>
    <w:p>
      <w:pPr>
        <w:spacing w:after="0" w:line="63" w:lineRule="exact"/>
        <w:rPr>
          <w:rFonts w:ascii="Times New Roman" w:cs="Times New Roman" w:eastAsia="Times New Roman" w:hAnsi="Times New Roman"/>
          <w:sz w:val="21"/>
          <w:szCs w:val="21"/>
          <w:color w:val="auto"/>
          <w:vertAlign w:val="superscript"/>
        </w:rPr>
      </w:pPr>
    </w:p>
    <w:p>
      <w:pPr>
        <w:ind w:left="222" w:hanging="222"/>
        <w:spacing w:after="0" w:line="230" w:lineRule="auto"/>
        <w:tabs>
          <w:tab w:leader="none" w:pos="222"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Depreciation and amortization expense for the segments includes an allocation of expense related to assets which support multiple segments.</w:t>
      </w: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31" w:name="page32"/>
    <w:bookmarkEnd w:id="31"/>
    <w:p>
      <w:pPr>
        <w:ind w:left="14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38" w:lineRule="exact"/>
        <w:rPr>
          <w:sz w:val="20"/>
          <w:szCs w:val="20"/>
          <w:color w:val="auto"/>
        </w:rPr>
      </w:pPr>
    </w:p>
    <w:p>
      <w:pPr>
        <w:ind w:left="500" w:hanging="207"/>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Overview. </w:t>
      </w:r>
      <w:r>
        <w:rPr>
          <w:rFonts w:ascii="Times New Roman" w:cs="Times New Roman" w:eastAsia="Times New Roman" w:hAnsi="Times New Roman"/>
          <w:sz w:val="16"/>
          <w:szCs w:val="16"/>
          <w:color w:val="auto"/>
        </w:rPr>
        <w:t>This section provides a general description of the business and brands as well as the Company’s growth strategy.</w:t>
      </w:r>
    </w:p>
    <w:p>
      <w:pPr>
        <w:spacing w:after="0" w:line="110" w:lineRule="exact"/>
        <w:rPr>
          <w:rFonts w:ascii="Times New Roman" w:cs="Times New Roman" w:eastAsia="Times New Roman" w:hAnsi="Times New Roman"/>
          <w:sz w:val="16"/>
          <w:szCs w:val="16"/>
          <w:color w:val="auto"/>
        </w:rPr>
      </w:pPr>
    </w:p>
    <w:p>
      <w:pPr>
        <w:ind w:left="520" w:right="100" w:hanging="227"/>
        <w:spacing w:after="0" w:line="297" w:lineRule="auto"/>
        <w:tabs>
          <w:tab w:leader="none" w:pos="5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Global Economic Conditions and Industry Trends. </w:t>
      </w:r>
      <w:r>
        <w:rPr>
          <w:rFonts w:ascii="Times New Roman" w:cs="Times New Roman" w:eastAsia="Times New Roman" w:hAnsi="Times New Roman"/>
          <w:sz w:val="16"/>
          <w:szCs w:val="16"/>
          <w:color w:val="auto"/>
        </w:rPr>
        <w:t>This section includes a discussion on global economic conditions and industry trends that affect comparability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important in understanding results of operations and financial conditions, and in anticipating future trends.</w:t>
      </w:r>
    </w:p>
    <w:p>
      <w:pPr>
        <w:spacing w:after="0" w:line="35" w:lineRule="exact"/>
        <w:rPr>
          <w:rFonts w:ascii="Times New Roman" w:cs="Times New Roman" w:eastAsia="Times New Roman" w:hAnsi="Times New Roman"/>
          <w:sz w:val="16"/>
          <w:szCs w:val="16"/>
          <w:color w:val="auto"/>
        </w:rPr>
      </w:pPr>
    </w:p>
    <w:p>
      <w:pPr>
        <w:ind w:left="520" w:right="120" w:hanging="227"/>
        <w:spacing w:after="0" w:line="297" w:lineRule="auto"/>
        <w:tabs>
          <w:tab w:leader="none" w:pos="5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An analysis of our results of operations in the second quarter of fiscal 2025 compared to the second quarter of fiscal 2024 and first six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of fiscal 2025 compared to the first six months of fiscal 2024.</w:t>
      </w:r>
    </w:p>
    <w:p>
      <w:pPr>
        <w:spacing w:after="0" w:line="35" w:lineRule="exact"/>
        <w:rPr>
          <w:rFonts w:ascii="Times New Roman" w:cs="Times New Roman" w:eastAsia="Times New Roman" w:hAnsi="Times New Roman"/>
          <w:sz w:val="16"/>
          <w:szCs w:val="16"/>
          <w:color w:val="auto"/>
        </w:rPr>
      </w:pPr>
    </w:p>
    <w:p>
      <w:pPr>
        <w:jc w:val="both"/>
        <w:ind w:left="520" w:right="120" w:hanging="227"/>
        <w:spacing w:after="0" w:line="276" w:lineRule="auto"/>
        <w:tabs>
          <w:tab w:leader="none" w:pos="5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Non-GAAP Measures. </w:t>
      </w:r>
      <w:r>
        <w:rPr>
          <w:rFonts w:ascii="Times New Roman" w:cs="Times New Roman" w:eastAsia="Times New Roman" w:hAnsi="Times New Roman"/>
          <w:sz w:val="16"/>
          <w:szCs w:val="16"/>
          <w:color w:val="auto"/>
        </w:rPr>
        <w:t>This section includes non-GAAP measures that are useful to investors and others in evaluating the Company’s ongoing operating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results in a manner that is consistent with management's evaluation of business performance and understanding how such results compare with the Company’s historical performance.</w:t>
      </w:r>
    </w:p>
    <w:p>
      <w:pPr>
        <w:spacing w:after="0" w:line="52" w:lineRule="exact"/>
        <w:rPr>
          <w:rFonts w:ascii="Times New Roman" w:cs="Times New Roman" w:eastAsia="Times New Roman" w:hAnsi="Times New Roman"/>
          <w:sz w:val="16"/>
          <w:szCs w:val="16"/>
          <w:color w:val="auto"/>
        </w:rPr>
      </w:pPr>
    </w:p>
    <w:p>
      <w:pPr>
        <w:ind w:left="520" w:right="100" w:hanging="227"/>
        <w:spacing w:after="0" w:line="297" w:lineRule="auto"/>
        <w:tabs>
          <w:tab w:leader="none" w:pos="5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Condition. </w:t>
      </w:r>
      <w:r>
        <w:rPr>
          <w:rFonts w:ascii="Times New Roman" w:cs="Times New Roman" w:eastAsia="Times New Roman" w:hAnsi="Times New Roman"/>
          <w:sz w:val="16"/>
          <w:szCs w:val="16"/>
          <w:color w:val="auto"/>
        </w:rPr>
        <w:t>This section includes a discussion on liquidity and capital resources including an analysis of changes in cash flow as well as working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capital expenditures.</w:t>
      </w:r>
    </w:p>
    <w:p>
      <w:pPr>
        <w:spacing w:after="0" w:line="35" w:lineRule="exact"/>
        <w:rPr>
          <w:rFonts w:ascii="Times New Roman" w:cs="Times New Roman" w:eastAsia="Times New Roman" w:hAnsi="Times New Roman"/>
          <w:sz w:val="16"/>
          <w:szCs w:val="16"/>
          <w:color w:val="auto"/>
        </w:rPr>
      </w:pPr>
    </w:p>
    <w:p>
      <w:pPr>
        <w:ind w:left="520" w:right="100" w:hanging="227"/>
        <w:spacing w:after="0" w:line="297" w:lineRule="auto"/>
        <w:tabs>
          <w:tab w:leader="none" w:pos="5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Critical Accounting Policies and Estimates. </w:t>
      </w:r>
      <w:r>
        <w:rPr>
          <w:rFonts w:ascii="Times New Roman" w:cs="Times New Roman" w:eastAsia="Times New Roman" w:hAnsi="Times New Roman"/>
          <w:sz w:val="16"/>
          <w:szCs w:val="16"/>
          <w:color w:val="auto"/>
        </w:rPr>
        <w:t>This section includes any material changes or updates to critical accounting policies or estimates since the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on Form 10-K for fiscal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Tapestry, Inc. is a house of iconic accessories and lifestyle brands. Our global house of brands unites the magic of Coach, kate spade new york and Stuart Weitzman. Each of our brands are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has three reportable segments:</w:t>
      </w:r>
    </w:p>
    <w:p>
      <w:pPr>
        <w:spacing w:after="0" w:line="108" w:lineRule="exact"/>
        <w:rPr>
          <w:sz w:val="20"/>
          <w:szCs w:val="20"/>
          <w:color w:val="auto"/>
        </w:rPr>
      </w:pPr>
    </w:p>
    <w:p>
      <w:pPr>
        <w:ind w:left="500" w:hanging="207"/>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Coach - </w:t>
      </w:r>
      <w:r>
        <w:rPr>
          <w:rFonts w:ascii="Times New Roman" w:cs="Times New Roman" w:eastAsia="Times New Roman" w:hAnsi="Times New Roman"/>
          <w:sz w:val="16"/>
          <w:szCs w:val="16"/>
          <w:color w:val="auto"/>
        </w:rPr>
        <w:t>Includes global sales of primarily Coach brand products to customers through our direct-to-consumer ("DTC"), wholesale and licensing businesses.</w:t>
      </w:r>
    </w:p>
    <w:p>
      <w:pPr>
        <w:spacing w:after="0" w:line="110" w:lineRule="exact"/>
        <w:rPr>
          <w:rFonts w:ascii="Times New Roman" w:cs="Times New Roman" w:eastAsia="Times New Roman" w:hAnsi="Times New Roman"/>
          <w:sz w:val="16"/>
          <w:szCs w:val="16"/>
          <w:color w:val="auto"/>
        </w:rPr>
      </w:pPr>
    </w:p>
    <w:p>
      <w:pPr>
        <w:ind w:left="500" w:hanging="207"/>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Kate Spade </w:t>
      </w:r>
      <w:r>
        <w:rPr>
          <w:rFonts w:ascii="Times New Roman" w:cs="Times New Roman" w:eastAsia="Times New Roman" w:hAnsi="Times New Roman"/>
          <w:sz w:val="16"/>
          <w:szCs w:val="16"/>
          <w:color w:val="auto"/>
        </w:rPr>
        <w:t>- Includes global sales primarily of kate spade new york brand products to customers through our DTC, wholesale and licensing businesses.</w:t>
      </w:r>
    </w:p>
    <w:p>
      <w:pPr>
        <w:spacing w:after="0" w:line="110" w:lineRule="exact"/>
        <w:rPr>
          <w:rFonts w:ascii="Times New Roman" w:cs="Times New Roman" w:eastAsia="Times New Roman" w:hAnsi="Times New Roman"/>
          <w:sz w:val="16"/>
          <w:szCs w:val="16"/>
          <w:color w:val="auto"/>
        </w:rPr>
      </w:pPr>
    </w:p>
    <w:p>
      <w:pPr>
        <w:ind w:left="500" w:hanging="207"/>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Stuart Weitzman - </w:t>
      </w:r>
      <w:r>
        <w:rPr>
          <w:rFonts w:ascii="Times New Roman" w:cs="Times New Roman" w:eastAsia="Times New Roman" w:hAnsi="Times New Roman"/>
          <w:sz w:val="16"/>
          <w:szCs w:val="16"/>
          <w:color w:val="auto"/>
        </w:rPr>
        <w:t>Includes global sales of Stuart Weitzman brand products primarily through our DTC, wholesale and licensing businesses.</w:t>
      </w:r>
    </w:p>
    <w:p>
      <w:pPr>
        <w:spacing w:after="0" w:line="112" w:lineRule="exact"/>
        <w:rPr>
          <w:sz w:val="20"/>
          <w:szCs w:val="20"/>
          <w:color w:val="auto"/>
        </w:rPr>
      </w:pPr>
    </w:p>
    <w:p>
      <w:pPr>
        <w:ind w:firstLine="201"/>
        <w:spacing w:after="0" w:line="294" w:lineRule="auto"/>
        <w:rPr>
          <w:sz w:val="20"/>
          <w:szCs w:val="20"/>
          <w:color w:val="auto"/>
        </w:rPr>
      </w:pPr>
      <w:r>
        <w:rPr>
          <w:rFonts w:ascii="Times New Roman" w:cs="Times New Roman" w:eastAsia="Times New Roman" w:hAnsi="Times New Roman"/>
          <w:sz w:val="16"/>
          <w:szCs w:val="16"/>
          <w:color w:val="auto"/>
        </w:rPr>
        <w:t>Each of our brands is unique and independent, while sharing a commitment to innovation and authenticity defined by distinctive products and differentiated customer experiences across business channels and geographies. Our success does not depend solely on the performance of a single business channel, geographic area or brand.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6"/>
          <w:szCs w:val="16"/>
          <w:b w:val="1"/>
          <w:bCs w:val="1"/>
          <w:color w:val="auto"/>
        </w:rPr>
        <w:t>Capri Holdings Limited Acquisition</w:t>
      </w:r>
    </w:p>
    <w:p>
      <w:pPr>
        <w:spacing w:after="0" w:line="114" w:lineRule="exact"/>
        <w:rPr>
          <w:sz w:val="20"/>
          <w:szCs w:val="20"/>
          <w:color w:val="auto"/>
        </w:rPr>
      </w:pPr>
    </w:p>
    <w:p>
      <w:pPr>
        <w:jc w:val="both"/>
        <w:ind w:firstLine="294"/>
        <w:spacing w:after="0" w:line="257" w:lineRule="auto"/>
        <w:rPr>
          <w:sz w:val="20"/>
          <w:szCs w:val="20"/>
          <w:color w:val="auto"/>
        </w:rPr>
      </w:pPr>
      <w:r>
        <w:rPr>
          <w:rFonts w:ascii="Times New Roman" w:cs="Times New Roman" w:eastAsia="Times New Roman" w:hAnsi="Times New Roman"/>
          <w:sz w:val="16"/>
          <w:szCs w:val="16"/>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Note 11, "Debt" for further information.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2025 Growth Strategy</w:t>
      </w:r>
    </w:p>
    <w:p>
      <w:pPr>
        <w:spacing w:after="0" w:line="112"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color w:val="auto"/>
        </w:rPr>
        <w:t>In the first quarter of fiscal 2023, the Company introduced the 2025 growth strategy (“</w:t>
      </w:r>
      <w:r>
        <w:rPr>
          <w:rFonts w:ascii="Times New Roman" w:cs="Times New Roman" w:eastAsia="Times New Roman" w:hAnsi="Times New Roman"/>
          <w:sz w:val="16"/>
          <w:szCs w:val="16"/>
          <w:i w:val="1"/>
          <w:iCs w:val="1"/>
          <w:color w:val="auto"/>
        </w:rPr>
        <w:t>future</w:t>
      </w:r>
      <w:r>
        <w:rPr>
          <w:rFonts w:ascii="Times New Roman" w:cs="Times New Roman" w:eastAsia="Times New Roman" w:hAnsi="Times New Roman"/>
          <w:sz w:val="16"/>
          <w:szCs w:val="16"/>
          <w:color w:val="auto"/>
        </w:rPr>
        <w:t>speed”), designed to amplify and extend the competitive advantages of its brands, with a focus on four strategic priorities:</w:t>
      </w:r>
    </w:p>
    <w:p>
      <w:pPr>
        <w:spacing w:after="0" w:line="37" w:lineRule="exact"/>
        <w:rPr>
          <w:sz w:val="20"/>
          <w:szCs w:val="20"/>
          <w:color w:val="auto"/>
        </w:rPr>
      </w:pPr>
    </w:p>
    <w:p>
      <w:pPr>
        <w:ind w:left="580" w:hanging="287"/>
        <w:spacing w:after="0" w:line="294" w:lineRule="auto"/>
        <w:tabs>
          <w:tab w:leader="none" w:pos="5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 Lasting Customer Relationships: The Company’s brands aim to leverage Tapestry’s transformed business model to drive customer lifetime value through a combination of increased customer acquisition, retention and reactivation.</w:t>
      </w:r>
    </w:p>
    <w:p>
      <w:pPr>
        <w:spacing w:after="0" w:line="40" w:lineRule="exact"/>
        <w:rPr>
          <w:rFonts w:ascii="Times New Roman" w:cs="Times New Roman" w:eastAsia="Times New Roman" w:hAnsi="Times New Roman"/>
          <w:sz w:val="16"/>
          <w:szCs w:val="16"/>
          <w:color w:val="auto"/>
        </w:rPr>
      </w:pPr>
    </w:p>
    <w:p>
      <w:pPr>
        <w:ind w:left="580" w:hanging="287"/>
        <w:spacing w:after="0" w:line="294" w:lineRule="auto"/>
        <w:tabs>
          <w:tab w:leader="none" w:pos="5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Fueling Fashion Innovation &amp; Product Excellence: The Company aims to drive sustained growth in core handbags and small leathergoods, while accelerating gains in footwear and lifestyle products.</w:t>
      </w:r>
    </w:p>
    <w:p>
      <w:pPr>
        <w:spacing w:after="0" w:line="40" w:lineRule="exact"/>
        <w:rPr>
          <w:rFonts w:ascii="Times New Roman" w:cs="Times New Roman" w:eastAsia="Times New Roman" w:hAnsi="Times New Roman"/>
          <w:sz w:val="16"/>
          <w:szCs w:val="16"/>
          <w:color w:val="auto"/>
        </w:rPr>
      </w:pPr>
    </w:p>
    <w:p>
      <w:pPr>
        <w:ind w:left="580" w:hanging="287"/>
        <w:spacing w:after="0" w:line="294" w:lineRule="auto"/>
        <w:tabs>
          <w:tab w:leader="none" w:pos="5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Delivering Compelling Omni-Channel Experiences: The Company aims to extend its omni-channel leadership to meet the customer wherever they shop, delivering growth online and in stores.</w:t>
      </w:r>
    </w:p>
    <w:p>
      <w:pPr>
        <w:spacing w:after="0" w:line="40" w:lineRule="exact"/>
        <w:rPr>
          <w:rFonts w:ascii="Times New Roman" w:cs="Times New Roman" w:eastAsia="Times New Roman" w:hAnsi="Times New Roman"/>
          <w:sz w:val="16"/>
          <w:szCs w:val="16"/>
          <w:color w:val="auto"/>
        </w:rPr>
      </w:pPr>
    </w:p>
    <w:p>
      <w:pPr>
        <w:ind w:left="580" w:hanging="287"/>
        <w:spacing w:after="0" w:line="294" w:lineRule="auto"/>
        <w:tabs>
          <w:tab w:leader="none" w:pos="5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Powering Global Growth: The Company aims to support balanced growth across regions, prioritizing North America and China, its largest markets, while capitalizing on opportunities in under-penetrated geographies such as Southeast Asia and Europe.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ECONOMIC CONDITIONS AND INDUSTRY TRENDS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5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6"/>
          <w:szCs w:val="16"/>
          <w:color w:val="auto"/>
        </w:rPr>
        <w:t>For a detailed discussion of significant risk factors that have the potential to cause our actual results to differ materially from our expectations, see Part I, Item 1A.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Factors" herein and as disclosed in our Annual Report on Form 10-K for the year ended June 29, 2024.</w:t>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Current Macroeconomic Conditions and Outlook</w:t>
      </w:r>
    </w:p>
    <w:p>
      <w:pPr>
        <w:spacing w:after="0" w:line="114"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During the second quarter of fiscal 2025, the macroeconomic environment remained challenging and volatile. Several organizations that monitor the world’s economy, including the International Monetary Fund, continue to forecast growth in the global economy, and remains unchanged since the first quarter of fiscal 2025. The forecast is below the historical growth average and is reflective of the current volatile environment, including tighter monetary and fiscal policies which have continued to moderate inflation, financial market volatility and the negative economic impacts of geopolitical instability in certain regions of the world.</w:t>
      </w:r>
    </w:p>
    <w:p>
      <w:pPr>
        <w:spacing w:after="0" w:line="59"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In the second quarter of fiscal 2025, the U.S. Dollar continued to fluctuate as compared to foreign currencies in regions where we conduct our business. This trend has resulted in impacts to our business including, but not limited to, for the three months ended December 28, 2024, increased Net sales of $6.9 million, with no impact to either gross margin or operating margin. For the six months ended December 28, 2024, increased Net sales of $0.8 million, a positive impact to gross margin of approximately 20 basis points which benefited from the Company's hedging activity and approximately 10 basis point positive impact to operating margin.</w:t>
      </w:r>
    </w:p>
    <w:p>
      <w:pPr>
        <w:spacing w:after="0" w:line="59"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Currency volatility, geopolitical instability and political uncertainty, such as the potential impact of policies implemented and that may be implemented by the new U.S. Presidential Administration, including, but not limited to, changes to trade agreements, tax legislation or duty rates may also contribute to a worsening of the macroeconomic environment or adversely impact our business. Since fiscal 2019, the U.S. and China have both imposed tariffs on the importation of certain product categories into the respective country, with limited progress in negotiations to reduce or remove the tariffs.</w:t>
      </w:r>
    </w:p>
    <w:p>
      <w:pPr>
        <w:spacing w:after="0" w:line="59"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During fiscal 2024, certain geopolitical events have impacted trade routes in the Red Sea which have modestly increased inventory in-transit times and costs. The Company has taken actions to minimize any potential disruptions and at this time, does not anticipate material impact to our business or operating results. We will continue to closely monitor the situation.</w:t>
      </w:r>
    </w:p>
    <w:p>
      <w:pPr>
        <w:spacing w:after="0" w:line="55"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In response to the current environment, the Company continues to take strategic actions considering near-term exigencies and remains committed to maintaining the health of the brands and business.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Tax Legislation</w:t>
      </w:r>
    </w:p>
    <w:p>
      <w:pPr>
        <w:spacing w:after="0" w:line="114"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On August 16, 2022, the Inflation Reduction Act of 2022 was signed into law, with tax provisions primarily focused on implementing a 15% CAMT on global adjusted financial statement income and a 1% excise tax on share repurchases. The CAMT was effective at the beginning of fiscal 2024 and did not have a material impact on the Company’s effective tax rate.</w:t>
      </w:r>
    </w:p>
    <w:p>
      <w:pPr>
        <w:spacing w:after="0" w:line="55"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On December 12, 2022, the E.U. member states also reached an agreement to implement the OECD’s reform of international taxation known as GloBE, which broadly mirrors the Inflation Reduction Act by imposing a 15% global minimum tax on multinational companies. Based on the countries in which we do business that have enacted legislation effective January 1, 2025, we do not expect the impact of these changes to be material for fiscal 2025. A number of other countries are also implementing similar legislation with effective dates starting in 2026. As a result, we do expect a modest negative impact on the Company’s effective tax rate, however, this could change as other countries enact similar legislation and further guidance is released. We continue to closely monitor regulatory developments to assess potential impacts.</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14"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40"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0"/>
          </w:cols>
          <w:pgMar w:left="320" w:top="9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FISCAL 2025 COMPARED TO SECOND QUARTER FISCAL 2024</w:t>
      </w:r>
    </w:p>
    <w:p>
      <w:pPr>
        <w:spacing w:after="0" w:line="114" w:lineRule="exact"/>
        <w:rPr>
          <w:sz w:val="20"/>
          <w:szCs w:val="20"/>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The following table summarizes results of operations for the second quarter of fiscal 2025 compared to the second quarter of fiscal 2024. All percentages shown in the table below and the discussion that follows have been calculated using unrounded numbers.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December 30, 2023</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color w:val="auto"/>
              </w:rPr>
              <w:t>Variance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97"/>
              </w:rPr>
              <w:t>% of</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spacing w:after="0"/>
              <w:rPr>
                <w:sz w:val="19"/>
                <w:szCs w:val="19"/>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w:t>
            </w: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2,195.4</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2,084.5</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1,633.1</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74.4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1,493.2</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1,140.3</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492.8</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8"/>
        </w:trPr>
        <w:tc>
          <w:tcPr>
            <w:tcW w:w="2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13868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b w:val="1"/>
          <w:bCs w:val="1"/>
          <w:color w:val="auto"/>
        </w:rPr>
        <w:t>GAAP to Non-GAAP Reconciliation</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Company’s reported results are presented in accordance with accounting principles generally accepted in the United States of America ("GAAP"). The reported results during the second quarter of fiscal 2025 and fiscal 2024 reflect certain items which affect the comparability of our results, as noted in the following table. Refer to "Non-GAAP Measures" herein for further discussion on the Non-GAAP measures.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Second Quarter Fiscal 2025 Items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Three Months Ended December 28, 2024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6"/>
          </w:tcPr>
          <w:p>
            <w:pPr>
              <w:jc w:val="center"/>
              <w:ind w:left="1278"/>
              <w:spacing w:after="0"/>
              <w:rPr>
                <w:sz w:val="20"/>
                <w:szCs w:val="20"/>
                <w:color w:val="auto"/>
              </w:rPr>
            </w:pPr>
            <w:r>
              <w:rPr>
                <w:rFonts w:ascii="Times New Roman" w:cs="Times New Roman" w:eastAsia="Times New Roman" w:hAnsi="Times New Roman"/>
                <w:sz w:val="16"/>
                <w:szCs w:val="16"/>
                <w:b w:val="1"/>
                <w:bCs w:val="1"/>
                <w:color w:val="auto"/>
              </w:rPr>
              <w:t>Items Affecting Comparability</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rPr>
              <w:t>GAAP Basis</w:t>
            </w:r>
          </w:p>
        </w:tc>
        <w:tc>
          <w:tcPr>
            <w:tcW w:w="200" w:type="dxa"/>
            <w:vAlign w:val="bottom"/>
          </w:tcPr>
          <w:p>
            <w:pPr>
              <w:spacing w:after="0"/>
              <w:rPr>
                <w:sz w:val="13"/>
                <w:szCs w:val="13"/>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00" w:type="dxa"/>
            <w:vAlign w:val="bottom"/>
          </w:tcPr>
          <w:p>
            <w:pPr>
              <w:spacing w:after="0"/>
              <w:rPr>
                <w:sz w:val="13"/>
                <w:szCs w:val="13"/>
                <w:color w:val="auto"/>
              </w:rPr>
            </w:pPr>
          </w:p>
        </w:tc>
        <w:tc>
          <w:tcPr>
            <w:tcW w:w="1600" w:type="dxa"/>
            <w:vAlign w:val="bottom"/>
          </w:tcPr>
          <w:p>
            <w:pPr>
              <w:jc w:val="right"/>
              <w:ind w:right="218"/>
              <w:spacing w:after="0" w:line="152" w:lineRule="exact"/>
              <w:rPr>
                <w:sz w:val="20"/>
                <w:szCs w:val="20"/>
                <w:color w:val="auto"/>
              </w:rPr>
            </w:pPr>
            <w:r>
              <w:rPr>
                <w:rFonts w:ascii="Times New Roman" w:cs="Times New Roman" w:eastAsia="Times New Roman" w:hAnsi="Times New Roman"/>
                <w:sz w:val="16"/>
                <w:szCs w:val="16"/>
                <w:b w:val="1"/>
                <w:bCs w:val="1"/>
                <w:color w:val="auto"/>
              </w:rPr>
              <w:t>Non-GAAP Basis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(Excluding Items)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Coach</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Kate Spade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Weitzman</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per diluted common share</w:t>
            </w: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second quarter of fiscal 2025, the Company incurred charges as follows:</w:t>
      </w:r>
    </w:p>
    <w:p>
      <w:pPr>
        <w:spacing w:after="0" w:line="108" w:lineRule="exact"/>
        <w:rPr>
          <w:sz w:val="20"/>
          <w:szCs w:val="20"/>
          <w:color w:val="auto"/>
        </w:rPr>
      </w:pPr>
    </w:p>
    <w:p>
      <w:pPr>
        <w:ind w:left="580" w:hanging="287"/>
        <w:spacing w:after="0"/>
        <w:tabs>
          <w:tab w:leader="none" w:pos="580" w:val="left"/>
        </w:tabs>
        <w:numPr>
          <w:ilvl w:val="0"/>
          <w:numId w:val="2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Acquisition Costs </w:t>
      </w:r>
      <w:r>
        <w:rPr>
          <w:rFonts w:ascii="Times New Roman" w:cs="Times New Roman" w:eastAsia="Times New Roman" w:hAnsi="Times New Roman"/>
          <w:sz w:val="16"/>
          <w:szCs w:val="16"/>
          <w:color w:val="auto"/>
        </w:rPr>
        <w:t>- Total pre-tax charges of $197.6 million attributable to the Capri Acquisition. These charges include:</w:t>
      </w:r>
    </w:p>
    <w:p>
      <w:pPr>
        <w:spacing w:after="0" w:line="110" w:lineRule="exact"/>
        <w:rPr>
          <w:rFonts w:ascii="Times New Roman" w:cs="Times New Roman" w:eastAsia="Times New Roman" w:hAnsi="Times New Roman"/>
          <w:sz w:val="16"/>
          <w:szCs w:val="16"/>
          <w:i w:val="1"/>
          <w:iCs w:val="1"/>
          <w:color w:val="auto"/>
        </w:rPr>
      </w:pPr>
    </w:p>
    <w:p>
      <w:pPr>
        <w:jc w:val="both"/>
        <w:ind w:left="1180" w:hanging="298"/>
        <w:spacing w:after="0" w:line="276" w:lineRule="auto"/>
        <w:tabs>
          <w:tab w:leader="none" w:pos="117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Loss on extinguishment of debt - </w:t>
      </w:r>
      <w:r>
        <w:rPr>
          <w:rFonts w:ascii="Times New Roman" w:cs="Times New Roman" w:eastAsia="Times New Roman" w:hAnsi="Times New Roman"/>
          <w:sz w:val="16"/>
          <w:szCs w:val="16"/>
          <w:color w:val="auto"/>
        </w:rPr>
        <w:t>$119.4 million primarily related to redemption premiums, as well as unamortized debt issuance costs and discounts,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 of the redemption of the Capri Acquisition Senior Notes in the second quarter of fiscal 2025 due to the termination of the Capri Acquisition agreement;</w:t>
      </w:r>
    </w:p>
    <w:p>
      <w:pPr>
        <w:spacing w:after="0" w:line="52" w:lineRule="exact"/>
        <w:rPr>
          <w:rFonts w:ascii="Times New Roman" w:cs="Times New Roman" w:eastAsia="Times New Roman" w:hAnsi="Times New Roman"/>
          <w:sz w:val="16"/>
          <w:szCs w:val="16"/>
          <w:color w:val="auto"/>
        </w:rPr>
      </w:pPr>
    </w:p>
    <w:p>
      <w:pPr>
        <w:ind w:left="1180" w:hanging="298"/>
        <w:spacing w:after="0"/>
        <w:tabs>
          <w:tab w:leader="none" w:pos="118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SG&amp;A expenses</w:t>
      </w:r>
      <w:r>
        <w:rPr>
          <w:rFonts w:ascii="Times New Roman" w:cs="Times New Roman" w:eastAsia="Times New Roman" w:hAnsi="Times New Roman"/>
          <w:sz w:val="16"/>
          <w:szCs w:val="16"/>
          <w:color w:val="auto"/>
        </w:rPr>
        <w:t>: $55.4 million primarily related to expense reimbursement payment made to Capri and professional fees recorded within Corporate;</w:t>
      </w:r>
    </w:p>
    <w:p>
      <w:pPr>
        <w:spacing w:after="0" w:line="110" w:lineRule="exact"/>
        <w:rPr>
          <w:rFonts w:ascii="Times New Roman" w:cs="Times New Roman" w:eastAsia="Times New Roman" w:hAnsi="Times New Roman"/>
          <w:sz w:val="16"/>
          <w:szCs w:val="16"/>
          <w:color w:val="auto"/>
        </w:rPr>
      </w:pPr>
    </w:p>
    <w:p>
      <w:pPr>
        <w:ind w:left="1180" w:hanging="298"/>
        <w:spacing w:after="0"/>
        <w:tabs>
          <w:tab w:leader="none" w:pos="1180" w:val="left"/>
        </w:tabs>
        <w:numPr>
          <w:ilvl w:val="1"/>
          <w:numId w:val="2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$22.8 million of financing related charges which primarily includes the net impact of the Capri Acquisition Senior Notes.</w:t>
      </w:r>
    </w:p>
    <w:p>
      <w:pPr>
        <w:spacing w:after="0" w:line="112" w:lineRule="exact"/>
        <w:rPr>
          <w:sz w:val="20"/>
          <w:szCs w:val="20"/>
          <w:color w:val="auto"/>
        </w:rPr>
      </w:pPr>
    </w:p>
    <w:p>
      <w:pPr>
        <w:ind w:firstLine="212"/>
        <w:spacing w:after="0" w:line="294" w:lineRule="auto"/>
        <w:rPr>
          <w:sz w:val="20"/>
          <w:szCs w:val="20"/>
          <w:color w:val="auto"/>
        </w:rPr>
      </w:pPr>
      <w:r>
        <w:rPr>
          <w:rFonts w:ascii="Times New Roman" w:cs="Times New Roman" w:eastAsia="Times New Roman" w:hAnsi="Times New Roman"/>
          <w:sz w:val="16"/>
          <w:szCs w:val="16"/>
          <w:color w:val="auto"/>
        </w:rPr>
        <w:t>These actions taken together negatively impacted operating income by $55.4 million, increased Loss on extinguishment of debt by $119.4 million, increased interest expense by $22.8 million and reduced the provision for income tax by $57.8 million resulting in a net decrease in net income by $139.8 million or $0.62 per diluted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Supplemental Segment Data</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December 28, 2024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700" w:type="dxa"/>
            <w:vAlign w:val="bottom"/>
            <w:tcBorders>
              <w:top w:val="single" w:sz="8" w:color="auto"/>
              <w:bottom w:val="single" w:sz="8" w:color="auto"/>
            </w:tcBorders>
            <w:gridSpan w:val="6"/>
          </w:tcPr>
          <w:p>
            <w:pPr>
              <w:jc w:val="center"/>
              <w:ind w:left="1278"/>
              <w:spacing w:after="0"/>
              <w:rPr>
                <w:sz w:val="20"/>
                <w:szCs w:val="20"/>
                <w:color w:val="auto"/>
              </w:rPr>
            </w:pPr>
            <w:r>
              <w:rPr>
                <w:rFonts w:ascii="Times New Roman" w:cs="Times New Roman" w:eastAsia="Times New Roman" w:hAnsi="Times New Roman"/>
                <w:sz w:val="16"/>
                <w:szCs w:val="16"/>
                <w:b w:val="1"/>
                <w:bCs w:val="1"/>
                <w:color w:val="auto"/>
              </w:rPr>
              <w:t>Items Affecting Comparability</w:t>
            </w:r>
          </w:p>
        </w:tc>
        <w:tc>
          <w:tcPr>
            <w:tcW w:w="16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rPr>
              <w:t>GAAP Basis</w:t>
            </w:r>
          </w:p>
        </w:tc>
        <w:tc>
          <w:tcPr>
            <w:tcW w:w="200" w:type="dxa"/>
            <w:vAlign w:val="bottom"/>
          </w:tcPr>
          <w:p>
            <w:pPr>
              <w:spacing w:after="0"/>
              <w:rPr>
                <w:sz w:val="13"/>
                <w:szCs w:val="13"/>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00" w:type="dxa"/>
            <w:vAlign w:val="bottom"/>
          </w:tcPr>
          <w:p>
            <w:pPr>
              <w:spacing w:after="0"/>
              <w:rPr>
                <w:sz w:val="13"/>
                <w:szCs w:val="13"/>
                <w:color w:val="auto"/>
              </w:rPr>
            </w:pPr>
          </w:p>
        </w:tc>
        <w:tc>
          <w:tcPr>
            <w:tcW w:w="1600" w:type="dxa"/>
            <w:vAlign w:val="bottom"/>
          </w:tcPr>
          <w:p>
            <w:pPr>
              <w:ind w:left="100"/>
              <w:spacing w:after="0" w:line="152" w:lineRule="exact"/>
              <w:rPr>
                <w:sz w:val="20"/>
                <w:szCs w:val="20"/>
                <w:color w:val="auto"/>
              </w:rPr>
            </w:pPr>
            <w:r>
              <w:rPr>
                <w:rFonts w:ascii="Times New Roman" w:cs="Times New Roman" w:eastAsia="Times New Roman" w:hAnsi="Times New Roman"/>
                <w:sz w:val="16"/>
                <w:szCs w:val="16"/>
                <w:b w:val="1"/>
                <w:bCs w:val="1"/>
                <w:color w:val="auto"/>
              </w:rPr>
              <w:t>Non-GAAP Basis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(Excluding Items)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2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Coach</w:t>
            </w:r>
          </w:p>
        </w:tc>
        <w:tc>
          <w:tcPr>
            <w:tcW w:w="2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Kate Spade</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Weitzman</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1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SG&amp;A expenses</w:t>
            </w:r>
          </w:p>
        </w:tc>
        <w:tc>
          <w:tcPr>
            <w:tcW w:w="1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33</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Second Quarter Fiscal 2024 Items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48"/>
        </w:trPr>
        <w:tc>
          <w:tcPr>
            <w:tcW w:w="4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7"/>
          </w:tcPr>
          <w:p>
            <w:pPr>
              <w:jc w:val="center"/>
              <w:ind w:right="138"/>
              <w:spacing w:after="0"/>
              <w:rPr>
                <w:sz w:val="20"/>
                <w:szCs w:val="20"/>
                <w:color w:val="auto"/>
              </w:rPr>
            </w:pPr>
            <w:r>
              <w:rPr>
                <w:rFonts w:ascii="Times New Roman" w:cs="Times New Roman" w:eastAsia="Times New Roman" w:hAnsi="Times New Roman"/>
                <w:sz w:val="16"/>
                <w:szCs w:val="16"/>
                <w:color w:val="auto"/>
              </w:rPr>
              <w:t>Three Months Ended December 30, 2023</w:t>
            </w:r>
          </w:p>
        </w:tc>
      </w:tr>
      <w:tr>
        <w:trPr>
          <w:trHeight w:val="201"/>
        </w:trPr>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Items Affecting Comparability</w:t>
            </w:r>
          </w:p>
        </w:tc>
        <w:tc>
          <w:tcPr>
            <w:tcW w:w="1560" w:type="dxa"/>
            <w:vAlign w:val="bottom"/>
            <w:tcBorders>
              <w:bottom w:val="single" w:sz="8" w:color="auto"/>
            </w:tcBorders>
          </w:tcPr>
          <w:p>
            <w:pPr>
              <w:spacing w:after="0"/>
              <w:rPr>
                <w:sz w:val="17"/>
                <w:szCs w:val="17"/>
                <w:color w:val="auto"/>
              </w:rPr>
            </w:pPr>
          </w:p>
        </w:tc>
      </w:tr>
      <w:tr>
        <w:trPr>
          <w:trHeight w:val="152"/>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78"/>
              <w:spacing w:after="0" w:line="152" w:lineRule="exact"/>
              <w:rPr>
                <w:sz w:val="20"/>
                <w:szCs w:val="20"/>
                <w:color w:val="auto"/>
              </w:rPr>
            </w:pPr>
            <w:r>
              <w:rPr>
                <w:rFonts w:ascii="Times New Roman" w:cs="Times New Roman" w:eastAsia="Times New Roman" w:hAnsi="Times New Roman"/>
                <w:sz w:val="16"/>
                <w:szCs w:val="16"/>
                <w:color w:val="auto"/>
              </w:rPr>
              <w:t>GAAP Basis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ind w:right="218"/>
              <w:spacing w:after="0" w:line="152" w:lineRule="exact"/>
              <w:rPr>
                <w:sz w:val="20"/>
                <w:szCs w:val="20"/>
                <w:color w:val="auto"/>
              </w:rPr>
            </w:pPr>
            <w:r>
              <w:rPr>
                <w:rFonts w:ascii="Times New Roman" w:cs="Times New Roman" w:eastAsia="Times New Roman" w:hAnsi="Times New Roman"/>
                <w:sz w:val="16"/>
                <w:szCs w:val="16"/>
                <w:color w:val="auto"/>
              </w:rPr>
              <w:t>Non-GAAP Basis</w:t>
            </w:r>
          </w:p>
        </w:tc>
      </w:tr>
      <w:tr>
        <w:trPr>
          <w:trHeight w:val="221"/>
        </w:trPr>
        <w:tc>
          <w:tcPr>
            <w:tcW w:w="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(As Reported)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Acquisition Costs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(Excluding Items)</w:t>
            </w:r>
          </w:p>
        </w:tc>
      </w:tr>
      <w:tr>
        <w:trPr>
          <w:trHeight w:val="170"/>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(millions, except per share data)</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5"/>
        </w:trPr>
        <w:tc>
          <w:tcPr>
            <w:tcW w:w="4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w:t>
            </w:r>
          </w:p>
        </w:tc>
      </w:tr>
      <w:tr>
        <w:trPr>
          <w:trHeight w:val="209"/>
        </w:trPr>
        <w:tc>
          <w:tcPr>
            <w:tcW w:w="4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09"/>
        </w:trPr>
        <w:tc>
          <w:tcPr>
            <w:tcW w:w="4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40" w:type="dxa"/>
            <w:vAlign w:val="bottom"/>
          </w:tcPr>
          <w:p>
            <w:pPr>
              <w:spacing w:after="0"/>
              <w:rPr>
                <w:sz w:val="18"/>
                <w:szCs w:val="18"/>
                <w:color w:val="auto"/>
              </w:rPr>
            </w:pPr>
          </w:p>
        </w:tc>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01"/>
        </w:trPr>
        <w:tc>
          <w:tcPr>
            <w:tcW w:w="40" w:type="dxa"/>
            <w:vAlign w:val="bottom"/>
          </w:tcPr>
          <w:p>
            <w:pPr>
              <w:spacing w:after="0"/>
              <w:rPr>
                <w:sz w:val="17"/>
                <w:szCs w:val="17"/>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r>
      <w:tr>
        <w:trPr>
          <w:trHeight w:val="225"/>
        </w:trPr>
        <w:tc>
          <w:tcPr>
            <w:tcW w:w="40" w:type="dxa"/>
            <w:vAlign w:val="bottom"/>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01"/>
        </w:trPr>
        <w:tc>
          <w:tcPr>
            <w:tcW w:w="40" w:type="dxa"/>
            <w:vAlign w:val="bottom"/>
          </w:tcPr>
          <w:p>
            <w:pPr>
              <w:spacing w:after="0"/>
              <w:rPr>
                <w:sz w:val="17"/>
                <w:szCs w:val="17"/>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01"/>
        </w:trPr>
        <w:tc>
          <w:tcPr>
            <w:tcW w:w="40" w:type="dxa"/>
            <w:vAlign w:val="bottom"/>
          </w:tcPr>
          <w:p>
            <w:pPr>
              <w:spacing w:after="0"/>
              <w:rPr>
                <w:sz w:val="17"/>
                <w:szCs w:val="17"/>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per diluted common share</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second quarter of fiscal 2024, the Company incurred charges as follows:</w:t>
      </w:r>
    </w:p>
    <w:p>
      <w:pPr>
        <w:spacing w:after="0" w:line="108" w:lineRule="exact"/>
        <w:rPr>
          <w:sz w:val="20"/>
          <w:szCs w:val="20"/>
          <w:color w:val="auto"/>
        </w:rPr>
      </w:pPr>
    </w:p>
    <w:p>
      <w:pPr>
        <w:jc w:val="both"/>
        <w:ind w:left="580" w:hanging="287"/>
        <w:spacing w:after="0" w:line="276" w:lineRule="auto"/>
        <w:tabs>
          <w:tab w:leader="none" w:pos="57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Acquisition Costs </w:t>
      </w:r>
      <w:r>
        <w:rPr>
          <w:rFonts w:ascii="Times New Roman" w:cs="Times New Roman" w:eastAsia="Times New Roman" w:hAnsi="Times New Roman"/>
          <w:sz w:val="16"/>
          <w:szCs w:val="16"/>
          <w:color w:val="auto"/>
        </w:rPr>
        <w:t>- Total pre-tax charges of $72.4 million attributable to the Capri Acquisition. These charges include $44.1 million of financing related charges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recorded in Interest expense, net, which primarily includes Bridge Facility financing fees, and the net impact of the Capri Acquisition Senior Notes, and $28.3 million primarily related to professional fees recorded in SG&amp;A expense within Corporate.</w:t>
      </w:r>
    </w:p>
    <w:p>
      <w:pPr>
        <w:spacing w:after="0" w:line="54" w:lineRule="exact"/>
        <w:rPr>
          <w:sz w:val="20"/>
          <w:szCs w:val="20"/>
          <w:color w:val="auto"/>
        </w:rPr>
      </w:pPr>
    </w:p>
    <w:p>
      <w:pPr>
        <w:ind w:firstLine="183"/>
        <w:spacing w:after="0" w:line="294" w:lineRule="auto"/>
        <w:rPr>
          <w:sz w:val="20"/>
          <w:szCs w:val="20"/>
          <w:color w:val="auto"/>
        </w:rPr>
      </w:pPr>
      <w:r>
        <w:rPr>
          <w:rFonts w:ascii="Times New Roman" w:cs="Times New Roman" w:eastAsia="Times New Roman" w:hAnsi="Times New Roman"/>
          <w:sz w:val="16"/>
          <w:szCs w:val="16"/>
          <w:color w:val="auto"/>
        </w:rPr>
        <w:t>These actions taken together negatively impacted operating income by $28.3 million, increased interest expense by $44.1 million and reduced the provision for income tax by $18.0 million resulting in a net decrease in net income by $54.4 million or $0.24 per diluted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Supplemental Segment Data</w:t>
            </w: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gridSpan w:val="9"/>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 December 30, 2023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Items Affecting Comparability</w:t>
            </w:r>
          </w:p>
        </w:tc>
        <w:tc>
          <w:tcPr>
            <w:tcW w:w="15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258"/>
              <w:spacing w:after="0" w:line="152" w:lineRule="exact"/>
              <w:rPr>
                <w:sz w:val="20"/>
                <w:szCs w:val="20"/>
                <w:color w:val="auto"/>
              </w:rPr>
            </w:pPr>
            <w:r>
              <w:rPr>
                <w:rFonts w:ascii="Times New Roman" w:cs="Times New Roman" w:eastAsia="Times New Roman" w:hAnsi="Times New Roman"/>
                <w:sz w:val="16"/>
                <w:szCs w:val="16"/>
                <w:color w:val="auto"/>
              </w:rPr>
              <w:t>GAAP Basis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6"/>
                <w:szCs w:val="16"/>
                <w:color w:val="auto"/>
              </w:rPr>
              <w:t>Non-GAAP Basis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(As Reported)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Acquisition Costs</w:t>
            </w:r>
          </w:p>
        </w:tc>
        <w:tc>
          <w:tcPr>
            <w:tcW w:w="2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(Excluding Items)</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(millions)</w:t>
            </w: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2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SG&amp;A expenses</w:t>
            </w:r>
          </w:p>
        </w:tc>
        <w:tc>
          <w:tcPr>
            <w:tcW w:w="2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238"/>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Tapestry, Inc. Summary – Second Quarter of Fiscal 2025</w:t>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Currency Fluctuation Effects</w:t>
      </w:r>
    </w:p>
    <w:p>
      <w:pPr>
        <w:spacing w:after="0" w:line="114" w:lineRule="exact"/>
        <w:rPr>
          <w:sz w:val="20"/>
          <w:szCs w:val="20"/>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The change in net sales for the second quarter of fiscal 2025 compared to the second quarter of fiscal 2024 has been presented both including and excluding currency fluctuation impacts. All percentages shown in the tables below and the discussion that follows have been calculated using unrounded numbers.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vMerge w:val="restart"/>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540" w:type="dxa"/>
            <w:vAlign w:val="bottom"/>
          </w:tcPr>
          <w:p>
            <w:pPr>
              <w:jc w:val="right"/>
              <w:ind w:right="18"/>
              <w:spacing w:after="0" w:line="15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19"/>
                <w:szCs w:val="19"/>
                <w:color w:val="auto"/>
              </w:rPr>
            </w:pPr>
          </w:p>
        </w:tc>
        <w:tc>
          <w:tcPr>
            <w:tcW w:w="1480" w:type="dxa"/>
            <w:vAlign w:val="bottom"/>
            <w:tcBorders>
              <w:bottom w:val="single" w:sz="8" w:color="auto"/>
            </w:tcBorders>
            <w:gridSpan w:val="3"/>
            <w:vMerge w:val="continue"/>
          </w:tcPr>
          <w:p>
            <w:pPr>
              <w:spacing w:after="0"/>
              <w:rPr>
                <w:sz w:val="19"/>
                <w:szCs w:val="19"/>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1,709.3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5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1"/>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Tapestry</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2,195.4</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2,084.5</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5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Net sales in the second quarter of fiscal 2025 increased 5.3% or $110.9 million to $2.20 billion. Excluding the impact of foreign currency, net sales increased by 5.0% or $104.0 million.</w:t>
      </w:r>
    </w:p>
    <w:p>
      <w:pPr>
        <w:spacing w:after="0" w:line="38" w:lineRule="exact"/>
        <w:rPr>
          <w:sz w:val="20"/>
          <w:szCs w:val="20"/>
          <w:color w:val="auto"/>
        </w:rPr>
      </w:pPr>
    </w:p>
    <w:p>
      <w:pPr>
        <w:jc w:val="both"/>
        <w:ind w:left="580" w:hanging="287"/>
        <w:spacing w:after="0" w:line="269" w:lineRule="auto"/>
        <w:tabs>
          <w:tab w:leader="none" w:pos="57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Coach Net Sales </w:t>
      </w:r>
      <w:r>
        <w:rPr>
          <w:rFonts w:ascii="Times New Roman" w:cs="Times New Roman" w:eastAsia="Times New Roman" w:hAnsi="Times New Roman"/>
          <w:sz w:val="16"/>
          <w:szCs w:val="16"/>
          <w:color w:val="auto"/>
        </w:rPr>
        <w:t>increased 10.9% or $167.4 million to $1.71 billion in the second quarter of fiscal 2025. Excluding the impact of foreign currency,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increased 10.5% or $161.5 million. This increase in net sales was primarily due to an increase of $135.3 million in DTC sales driven by an increase in both e-commerce and store sales globally, mainly driven by North America, Europe and Greater China. The increase in net sales was also attributed to a $30.3 million increase in wholesale sales, mainly driven by North America and Europe.</w:t>
      </w:r>
    </w:p>
    <w:p>
      <w:pPr>
        <w:spacing w:after="0" w:line="58" w:lineRule="exact"/>
        <w:rPr>
          <w:rFonts w:ascii="Times New Roman" w:cs="Times New Roman" w:eastAsia="Times New Roman" w:hAnsi="Times New Roman"/>
          <w:sz w:val="16"/>
          <w:szCs w:val="16"/>
          <w:color w:val="auto"/>
        </w:rPr>
      </w:pPr>
    </w:p>
    <w:p>
      <w:pPr>
        <w:jc w:val="both"/>
        <w:ind w:left="580" w:hanging="287"/>
        <w:spacing w:after="0" w:line="276" w:lineRule="auto"/>
        <w:tabs>
          <w:tab w:leader="none" w:pos="576"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Kate Spade Net Sales </w:t>
      </w:r>
      <w:r>
        <w:rPr>
          <w:rFonts w:ascii="Times New Roman" w:cs="Times New Roman" w:eastAsia="Times New Roman" w:hAnsi="Times New Roman"/>
          <w:sz w:val="16"/>
          <w:szCs w:val="16"/>
          <w:color w:val="auto"/>
        </w:rPr>
        <w:t>decreased 9.6% or $44.0 million to $416.4 million in the second quarter of fiscal 2025. Excluding the impact of foreign currency,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decreased 9.7% or $44.7 million. This decrease in net sales was due to a decrease of $49.3 million in DTC sales as a result of lower store and to a lesser extent, e-commerce sales. The decrease in DTC sales was partially offset by a $3.6 million increase in wholesale sales.</w:t>
      </w:r>
    </w:p>
    <w:p>
      <w:pPr>
        <w:spacing w:after="0" w:line="52" w:lineRule="exact"/>
        <w:rPr>
          <w:rFonts w:ascii="Times New Roman" w:cs="Times New Roman" w:eastAsia="Times New Roman" w:hAnsi="Times New Roman"/>
          <w:sz w:val="16"/>
          <w:szCs w:val="16"/>
          <w:i w:val="1"/>
          <w:iCs w:val="1"/>
          <w:color w:val="auto"/>
        </w:rPr>
      </w:pPr>
    </w:p>
    <w:p>
      <w:pPr>
        <w:ind w:left="580" w:hanging="287"/>
        <w:spacing w:after="0" w:line="297" w:lineRule="auto"/>
        <w:tabs>
          <w:tab w:leader="none" w:pos="57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Stuart Weitzman Net Sales </w:t>
      </w:r>
      <w:r>
        <w:rPr>
          <w:rFonts w:ascii="Times New Roman" w:cs="Times New Roman" w:eastAsia="Times New Roman" w:hAnsi="Times New Roman"/>
          <w:sz w:val="16"/>
          <w:szCs w:val="16"/>
          <w:color w:val="auto"/>
        </w:rPr>
        <w:t>decreased 15.2% or $12.5 million to $69.7 million in the second quarter of fiscal 2025. Excluding the impact of foreign currency,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decreased 15.5% or $12.8 million.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Variance</w:t>
            </w:r>
          </w:p>
        </w:tc>
        <w:tc>
          <w:tcPr>
            <w:tcW w:w="102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1,318.3</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77.1 %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74.4 %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170.8</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273.6</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w:t>
            </w: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59.1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(19.7)</w:t>
            </w:r>
          </w:p>
        </w:tc>
      </w:tr>
      <w:tr>
        <w:trPr>
          <w:trHeight w:val="20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1,633.1</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74.4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1,493.2</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9.4</w:t>
            </w:r>
          </w:p>
        </w:tc>
      </w:tr>
      <w:tr>
        <w:trPr>
          <w:trHeight w:val="20"/>
        </w:trPr>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Gross profit increased 9.4% or $139.9 million to $1.63 billion in the second quarter of fiscal 2025 from $1.49 billion in the second quarter of fiscal 2024. Gross margin increased 280 basis points to 74.4% in the second quarter of fiscal 2025 from 71.6% in the second quarter of fiscal 2024. This increase in Gross margin was primarily attributed to net pricing improvements. Refer to "Current Macroeconomic Conditions and Outlook" for further information.</w:t>
      </w:r>
    </w:p>
    <w:p>
      <w:pPr>
        <w:spacing w:after="0" w:line="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8" w:name="page39"/>
    <w:bookmarkEnd w:id="38"/>
    <w:tbl>
      <w:tblPr>
        <w:tblLayout w:type="fixed"/>
        <w:tblInd w:w="2" w:type="dxa"/>
        <w:tblCellMar>
          <w:top w:w="0" w:type="dxa"/>
          <w:left w:w="0" w:type="dxa"/>
          <w:bottom w:w="0" w:type="dxa"/>
          <w:right w:w="0" w:type="dxa"/>
        </w:tblCellMar>
      </w:tblPr>
      <w:tr>
        <w:trPr>
          <w:trHeight w:val="218"/>
        </w:trPr>
        <w:tc>
          <w:tcPr>
            <w:tcW w:w="51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("SG&amp;A")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0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0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697.4</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w w:val="99"/>
              </w:rPr>
              <w:t>40.8 %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40.2 %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205.6</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60.6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(15.3)</w:t>
            </w:r>
          </w:p>
        </w:tc>
      </w:tr>
      <w:tr>
        <w:trPr>
          <w:trHeight w:val="209"/>
        </w:trPr>
        <w:tc>
          <w:tcPr>
            <w:tcW w:w="2100" w:type="dxa"/>
            <w:vAlign w:val="bottom"/>
            <w:tcBorders>
              <w:bottom w:val="single" w:sz="8" w:color="CCEEFF"/>
            </w:tcBorders>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Corporate</w:t>
            </w:r>
            <w:r>
              <w:rPr>
                <w:rFonts w:ascii="Times New Roman" w:cs="Times New Roman" w:eastAsia="Times New Roman" w:hAnsi="Times New Roman"/>
                <w:sz w:val="21"/>
                <w:szCs w:val="21"/>
                <w:b w:val="1"/>
                <w:bCs w:val="1"/>
                <w:color w:val="auto"/>
                <w:vertAlign w:val="superscript"/>
              </w:rPr>
              <w:t>(1)(2)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195.1</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NA</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16"/>
                <w:szCs w:val="16"/>
                <w:color w:val="auto"/>
              </w:rPr>
              <w:t>26.5</w:t>
            </w:r>
          </w:p>
        </w:tc>
      </w:tr>
      <w:tr>
        <w:trPr>
          <w:trHeight w:val="22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1,140.3</w:t>
            </w:r>
          </w:p>
        </w:tc>
        <w:tc>
          <w:tcPr>
            <w:tcW w:w="160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51.9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60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9.1</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jc w:val="both"/>
        <w:ind w:left="2" w:firstLine="294"/>
        <w:spacing w:after="0" w:line="265" w:lineRule="auto"/>
        <w:rPr>
          <w:sz w:val="20"/>
          <w:szCs w:val="20"/>
          <w:color w:val="auto"/>
        </w:rPr>
      </w:pPr>
      <w:r>
        <w:rPr>
          <w:rFonts w:ascii="Times New Roman" w:cs="Times New Roman" w:eastAsia="Times New Roman" w:hAnsi="Times New Roman"/>
          <w:sz w:val="16"/>
          <w:szCs w:val="16"/>
          <w:color w:val="auto"/>
        </w:rPr>
        <w:t>SG&amp;A expenses increased 9.1% or $94.7 million to $1.14 billion in the second quarter of fiscal 2025 as compared to $1.05 billion in the second quarter of fiscal 2024. As a percentage of net sales, SG&amp;A expenses increased to 51.9% during the second quarter of fiscal 2025 from 50.2% during the second quarter of fiscal 2024. Excluding items affecting comparability of $55.4 million in the second quarter of fiscal 2025, SG&amp;A expenses increased 6.6% or $67.6 million to $1.08 billion from $1.02 billion in the second quarter of fiscal 2024. SG&amp;A as a percentage of net sales increased 70 basis points to 49.4% as compared to 48.7% during the second quarter of fiscal 2024. This increase in SG&amp;A as a percentage of net sales was primarily due to higher marketing spend.</w:t>
      </w:r>
    </w:p>
    <w:p>
      <w:pPr>
        <w:spacing w:after="0" w:line="64" w:lineRule="exact"/>
        <w:rPr>
          <w:sz w:val="20"/>
          <w:szCs w:val="20"/>
          <w:color w:val="auto"/>
        </w:rPr>
      </w:pPr>
    </w:p>
    <w:p>
      <w:pPr>
        <w:ind w:left="302" w:hanging="302"/>
        <w:spacing w:after="0" w:line="231" w:lineRule="auto"/>
        <w:tabs>
          <w:tab w:leader="none" w:pos="291"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second quarter of fiscal 2025, Corporate incurred charges affecting comparability of $55.4 million. Excluding those items affecting comparability, SG&amp;A expenses increased 11.0% or $13.8 million to $139.7 million in the second quarter of fiscal 2025 as compared to $125.9 million in the second quarter of fiscal 2024.</w:t>
      </w:r>
    </w:p>
    <w:p>
      <w:pPr>
        <w:spacing w:after="0" w:line="53" w:lineRule="exact"/>
        <w:rPr>
          <w:rFonts w:ascii="Times New Roman" w:cs="Times New Roman" w:eastAsia="Times New Roman" w:hAnsi="Times New Roman"/>
          <w:sz w:val="21"/>
          <w:szCs w:val="21"/>
          <w:color w:val="auto"/>
          <w:vertAlign w:val="superscript"/>
        </w:rPr>
      </w:pPr>
    </w:p>
    <w:p>
      <w:pPr>
        <w:ind w:left="282" w:hanging="282"/>
        <w:spacing w:after="0"/>
        <w:tabs>
          <w:tab w:leader="none" w:pos="282"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expenses, which are included within SG&amp;A expenses discussed above but are not directly attributable to a reportable segment.</w:t>
      </w:r>
    </w:p>
    <w:p>
      <w:pPr>
        <w:spacing w:after="0" w:line="77"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21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Variance</w:t>
            </w:r>
          </w:p>
        </w:tc>
        <w:tc>
          <w:tcPr>
            <w:tcW w:w="102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620.9</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36.4 %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17.5 %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16.4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60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(5.6)</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(195.1)</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w w:val="95"/>
              </w:rPr>
              <w:t>NA</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(26.5)</w:t>
            </w:r>
          </w:p>
        </w:tc>
      </w:tr>
      <w:tr>
        <w:trPr>
          <w:trHeight w:val="22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492.8</w:t>
            </w:r>
          </w:p>
        </w:tc>
        <w:tc>
          <w:tcPr>
            <w:tcW w:w="16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22.4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60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10.1</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Operating income increased 10.1% or $45.2 million to $492.8 million in the second quarter of fiscal 2025 as compared to $447.6 million in the second quarter of fiscal 2024. Operating margin was 22.4% in the second quarter of fiscal 2025 as compared to 21.5% in the second quarter of fiscal 2024. Excluding items affecting comparability of $55.4 million in the second quarter of fiscal 2025, operating income increased $72.3 million to $548.2 million in the second quarter of fiscal 2025 from $475.9 million in the second quarter of fiscal 2024; and operating margin increased 210 basis points to 24.9% in the second quarter of fiscal 2025 as compared to 22.8% in the second quarter of fiscal 2024. This increase in operating margin was primarily attributed to a 280 basis points increase in gross margin partially offset by an increase of 70 basis points in SG&amp;A as a percentage of sales.</w:t>
      </w:r>
    </w:p>
    <w:p>
      <w:pPr>
        <w:spacing w:after="0" w:line="64" w:lineRule="exact"/>
        <w:rPr>
          <w:sz w:val="20"/>
          <w:szCs w:val="20"/>
          <w:color w:val="auto"/>
        </w:rPr>
      </w:pPr>
    </w:p>
    <w:p>
      <w:pPr>
        <w:jc w:val="both"/>
        <w:ind w:left="582" w:hanging="287"/>
        <w:spacing w:after="0" w:line="289" w:lineRule="auto"/>
        <w:tabs>
          <w:tab w:leader="none" w:pos="578"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Coach Operating Income </w:t>
      </w:r>
      <w:r>
        <w:rPr>
          <w:rFonts w:ascii="Times New Roman" w:cs="Times New Roman" w:eastAsia="Times New Roman" w:hAnsi="Times New Roman"/>
          <w:sz w:val="16"/>
          <w:szCs w:val="16"/>
          <w:color w:val="auto"/>
        </w:rPr>
        <w:t>increased $92.6 million to $620.9 million in the second quarter of fiscal 2025, resulting in an operating margin increase of 210 basis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points to 36.4%, as compared to $528.3 million and 34.3%, respectively, in the second quarter of fiscal 2024. This increase in operating margin was primarily attributed to:</w:t>
      </w:r>
    </w:p>
    <w:p>
      <w:pPr>
        <w:spacing w:after="0" w:line="244" w:lineRule="exact"/>
        <w:rPr>
          <w:rFonts w:ascii="Times New Roman" w:cs="Times New Roman" w:eastAsia="Times New Roman" w:hAnsi="Times New Roman"/>
          <w:sz w:val="16"/>
          <w:szCs w:val="16"/>
          <w:b w:val="1"/>
          <w:bCs w:val="1"/>
          <w:i w:val="1"/>
          <w:iCs w:val="1"/>
          <w:color w:val="auto"/>
        </w:rPr>
      </w:pPr>
    </w:p>
    <w:p>
      <w:pPr>
        <w:ind w:left="1182" w:hanging="298"/>
        <w:spacing w:after="0"/>
        <w:tabs>
          <w:tab w:leader="none" w:pos="118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Gross Margin, </w:t>
      </w:r>
      <w:r>
        <w:rPr>
          <w:rFonts w:ascii="Times New Roman" w:cs="Times New Roman" w:eastAsia="Times New Roman" w:hAnsi="Times New Roman"/>
          <w:sz w:val="16"/>
          <w:szCs w:val="16"/>
          <w:color w:val="auto"/>
        </w:rPr>
        <w:t>increased 270 basis points mainly due to net pricing improvements;</w:t>
      </w:r>
    </w:p>
    <w:p>
      <w:pPr>
        <w:spacing w:after="0" w:line="110" w:lineRule="exact"/>
        <w:rPr>
          <w:rFonts w:ascii="Times New Roman" w:cs="Times New Roman" w:eastAsia="Times New Roman" w:hAnsi="Times New Roman"/>
          <w:sz w:val="16"/>
          <w:szCs w:val="16"/>
          <w:color w:val="auto"/>
        </w:rPr>
      </w:pPr>
    </w:p>
    <w:p>
      <w:pPr>
        <w:ind w:left="1182" w:hanging="298"/>
        <w:spacing w:after="0" w:line="297" w:lineRule="auto"/>
        <w:tabs>
          <w:tab w:leader="none" w:pos="1178"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SG&amp;A expenses as a percentage of net sales</w:t>
      </w:r>
      <w:r>
        <w:rPr>
          <w:rFonts w:ascii="Times New Roman" w:cs="Times New Roman" w:eastAsia="Times New Roman" w:hAnsi="Times New Roman"/>
          <w:sz w:val="16"/>
          <w:szCs w:val="16"/>
          <w:color w:val="auto"/>
        </w:rPr>
        <w:t>, increased 60 basis points mainly due to higher marketing spend, partially offset by leverage of occupancy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due to higher net sales.</w:t>
      </w:r>
    </w:p>
    <w:p>
      <w:pPr>
        <w:spacing w:after="0" w:line="200" w:lineRule="exact"/>
        <w:rPr>
          <w:sz w:val="20"/>
          <w:szCs w:val="20"/>
          <w:color w:val="auto"/>
        </w:rPr>
      </w:pPr>
    </w:p>
    <w:p>
      <w:pPr>
        <w:spacing w:after="0" w:line="2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917" w:right="339" w:bottom="1440" w:gutter="0" w:footer="0" w:header="0"/>
        </w:sectPr>
      </w:pPr>
    </w:p>
    <w:bookmarkStart w:id="39" w:name="page40"/>
    <w:bookmarkEnd w:id="39"/>
    <w:p>
      <w:pPr>
        <w:jc w:val="both"/>
        <w:ind w:left="580" w:hanging="287"/>
        <w:spacing w:after="0" w:line="289" w:lineRule="auto"/>
        <w:tabs>
          <w:tab w:leader="none" w:pos="576"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Kate Spade Operating Income </w:t>
      </w:r>
      <w:r>
        <w:rPr>
          <w:rFonts w:ascii="Times New Roman" w:cs="Times New Roman" w:eastAsia="Times New Roman" w:hAnsi="Times New Roman"/>
          <w:sz w:val="16"/>
          <w:szCs w:val="16"/>
          <w:color w:val="auto"/>
        </w:rPr>
        <w:t>decreased $4.1 million to $68.0 million in the second quarter of fiscal 2025 and operating margin increased 70 basis points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16.4%, as compared to $72.1 million and operating margin of 15.7% in the second quarter of fiscal 2024. This increase in operating margin was primarily attributed to:</w:t>
      </w:r>
    </w:p>
    <w:p>
      <w:pPr>
        <w:spacing w:after="0" w:line="244" w:lineRule="exact"/>
        <w:rPr>
          <w:rFonts w:ascii="Times New Roman" w:cs="Times New Roman" w:eastAsia="Times New Roman" w:hAnsi="Times New Roman"/>
          <w:sz w:val="16"/>
          <w:szCs w:val="16"/>
          <w:b w:val="1"/>
          <w:bCs w:val="1"/>
          <w:i w:val="1"/>
          <w:iCs w:val="1"/>
          <w:color w:val="auto"/>
        </w:rPr>
      </w:pPr>
    </w:p>
    <w:p>
      <w:pPr>
        <w:ind w:left="1180" w:hanging="298"/>
        <w:spacing w:after="0"/>
        <w:tabs>
          <w:tab w:leader="none" w:pos="118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Gross Margin</w:t>
      </w:r>
      <w:r>
        <w:rPr>
          <w:rFonts w:ascii="Times New Roman" w:cs="Times New Roman" w:eastAsia="Times New Roman" w:hAnsi="Times New Roman"/>
          <w:sz w:val="16"/>
          <w:szCs w:val="16"/>
          <w:color w:val="auto"/>
        </w:rPr>
        <w:t>, increased 180 basis points mainly due to net pricing improvements and lower duty expenses;</w:t>
      </w:r>
    </w:p>
    <w:p>
      <w:pPr>
        <w:spacing w:after="0" w:line="110" w:lineRule="exact"/>
        <w:rPr>
          <w:rFonts w:ascii="Times New Roman" w:cs="Times New Roman" w:eastAsia="Times New Roman" w:hAnsi="Times New Roman"/>
          <w:sz w:val="16"/>
          <w:szCs w:val="16"/>
          <w:color w:val="auto"/>
        </w:rPr>
      </w:pPr>
    </w:p>
    <w:p>
      <w:pPr>
        <w:ind w:left="1180" w:hanging="298"/>
        <w:spacing w:after="0" w:line="297" w:lineRule="auto"/>
        <w:tabs>
          <w:tab w:leader="none" w:pos="118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SG&amp;A expenses as a percentage of net sales, </w:t>
      </w:r>
      <w:r>
        <w:rPr>
          <w:rFonts w:ascii="Times New Roman" w:cs="Times New Roman" w:eastAsia="Times New Roman" w:hAnsi="Times New Roman"/>
          <w:sz w:val="16"/>
          <w:szCs w:val="16"/>
          <w:color w:val="auto"/>
        </w:rPr>
        <w:t>increased 110 basis points mainly due to deleverage of marketing spend and compensation costs due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lower net sales.</w:t>
      </w:r>
    </w:p>
    <w:p>
      <w:pPr>
        <w:spacing w:after="0" w:line="35" w:lineRule="exact"/>
        <w:rPr>
          <w:rFonts w:ascii="Times New Roman" w:cs="Times New Roman" w:eastAsia="Times New Roman" w:hAnsi="Times New Roman"/>
          <w:sz w:val="16"/>
          <w:szCs w:val="16"/>
          <w:color w:val="auto"/>
        </w:rPr>
      </w:pPr>
    </w:p>
    <w:p>
      <w:pPr>
        <w:jc w:val="both"/>
        <w:ind w:left="580" w:hanging="287"/>
        <w:spacing w:after="0" w:line="297" w:lineRule="auto"/>
        <w:tabs>
          <w:tab w:leader="none" w:pos="576"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Stuart Weitzman Operating Income </w:t>
      </w:r>
      <w:r>
        <w:rPr>
          <w:rFonts w:ascii="Times New Roman" w:cs="Times New Roman" w:eastAsia="Times New Roman" w:hAnsi="Times New Roman"/>
          <w:sz w:val="16"/>
          <w:szCs w:val="16"/>
          <w:color w:val="auto"/>
        </w:rPr>
        <w:t>decreased $2.4 million to an operating loss of $(1.0) million in the second quarter of fiscal 2025, resulting in an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margin decrease of 320 basis points to (1.5)%, as compared to operating income of $1.4 million and operating margin of 1.7% in the second quarter of fiscal 2024.</w:t>
      </w:r>
    </w:p>
    <w:p>
      <w:pPr>
        <w:spacing w:after="0" w:line="35" w:lineRule="exact"/>
        <w:rPr>
          <w:rFonts w:ascii="Times New Roman" w:cs="Times New Roman" w:eastAsia="Times New Roman" w:hAnsi="Times New Roman"/>
          <w:sz w:val="16"/>
          <w:szCs w:val="16"/>
          <w:b w:val="1"/>
          <w:bCs w:val="1"/>
          <w:i w:val="1"/>
          <w:iCs w:val="1"/>
          <w:color w:val="auto"/>
        </w:rPr>
      </w:pPr>
    </w:p>
    <w:p>
      <w:pPr>
        <w:jc w:val="both"/>
        <w:ind w:left="580" w:hanging="287"/>
        <w:spacing w:after="0" w:line="276" w:lineRule="auto"/>
        <w:tabs>
          <w:tab w:leader="none" w:pos="576"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Corporate Operating Expenses </w:t>
      </w:r>
      <w:r>
        <w:rPr>
          <w:rFonts w:ascii="Times New Roman" w:cs="Times New Roman" w:eastAsia="Times New Roman" w:hAnsi="Times New Roman"/>
          <w:sz w:val="16"/>
          <w:szCs w:val="16"/>
          <w:color w:val="auto"/>
        </w:rPr>
        <w:t>increased 26.5% or $40.9 million to $195.1 million in the second quarter of fiscal 2025. Excluding items affecting comparability,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operating expenses increased $13.8 million to $139.7 million from $125.9 million in the second quarter of fiscal 2024. This increase in operating expenses was attributed to an increase in SG&amp;A expenses primarily due to higher professional fees and increased compensation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on Extinguishment of Debt</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Loss on extinguishment of debt increased $120.1 million in the second quarter of fiscal 2025 to $120.1 million as compared to $0.0 million in the second quarter of fiscal 2024. Excluding items affecting comparability, Loss on extinguishment of debt was $0.7 million in the second quarter of fiscal 2025 as compared to $0.0 million in the second quarter of fiscal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 net</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Net interest expense decreased $24.7 million to $24.5 million in the second quarter of fiscal 2025 as compared to $49.2 million in the second quarter of fiscal 2024. Excluding items affecting comparability, net interest expense decreased $3.4 million to $1.7 million from $5.1 million in the second quarter of fiscal 2024. This decrease in net interest expense was mainly due to a decrease in interest expense on the Term Loan due 2027, the favorable impact of the net investment hedges and higher interest income partially offset by higher interest expense on the 2030 and 2035 Senior Notes, Revolving Credit Facility and Term Loan Credit Agreement.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Other expense (income) increased $7.6 million to Other expense of $2.9 million in the second quarter of fiscal 2025 as compared to Other income of $4.7 million in the second quarter of fiscal 2024. This increase in Other expense was related to an increase in foreign exchange losses.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effective tax rate was 10.1% in the second quarter of fiscal 2025 as compared to 20.0% in the second quarter of fiscal 2024. Excluding items affecting comparability, the effective tax rate was 17.1% in the second quarter of fiscal 2025 as compared to 20.8% in the second quarter of fiscal 2024. This decrease in our effective tax rate was primarily attributable to the excess tax windfall related to the exercise of share-based compensation awards and geographic mix of earnings.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Net income decreased 3.7% or $11.9 million to $310.4 million in the second quarter of fiscal 2025 as compared to $322.3 million in the second quarter of fiscal 2024. Excluding items affecting comparability, net income increased 19.5% or $73.5 million to $450.2 million in the second quarter of fiscal 2025 from $376.7 million in the second quarter of fiscal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Net income per diluted share was $1.38 in the second quarter of fiscal 2025 as compared to net income per diluted share of $1.39 in the second quarter of fiscal 2024. Excluding items affecting comparability, net income per diluted share increased $0.37 to $2.00 in the second quarter of fiscal 2025 from $1.63 in the second quarter of fiscal 2024, primarily due to higher net income and a decrease in shares outstanding.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FIRST SIX MONTHS FISCAL 2025 COMPARED TO FIRST SIX MONTHS FISCAL 2024</w:t>
      </w:r>
    </w:p>
    <w:p>
      <w:pPr>
        <w:spacing w:after="0" w:line="114" w:lineRule="exact"/>
        <w:rPr>
          <w:sz w:val="20"/>
          <w:szCs w:val="20"/>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The following table summarizes results of operations for the first six months of fiscal 2025 compared to the first six months of fiscal 2024. All percentages shown in the table below and the discussion that follows have been calculated using unrounded numbers.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December 30, 2023</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color w:val="auto"/>
              </w:rPr>
              <w:t>Variance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(millions, except per share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97"/>
              </w:rPr>
              <w:t>% of</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spacing w:after="0"/>
              <w:rPr>
                <w:sz w:val="19"/>
                <w:szCs w:val="19"/>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w:t>
            </w: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3,702.9</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2,768.0</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2,590.9</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2,023.2</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744.8</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8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8"/>
        </w:trPr>
        <w:tc>
          <w:tcPr>
            <w:tcW w:w="2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13868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b w:val="1"/>
          <w:bCs w:val="1"/>
          <w:color w:val="auto"/>
        </w:rPr>
        <w:t>GAAP to Non-GAAP Reconciliation</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Company’s reported results are presented in accordance with accounting principles generally accepted in the United States of America ("GAAP"). The reported results during the first six months of fiscal 2025 and fiscal 2024 reflect certain items which affect the comparability of our results, as noted in the following table. Refer to "Non-GAAP Measures" herein for further discussion on the Non-GAAP measures.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First Six Months of Fiscal 2025 Items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7"/>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Six Months Ended December 28, 2024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Items Affecting Comparability</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278"/>
              <w:spacing w:after="0" w:line="152" w:lineRule="exact"/>
              <w:rPr>
                <w:sz w:val="20"/>
                <w:szCs w:val="20"/>
                <w:color w:val="auto"/>
              </w:rPr>
            </w:pPr>
            <w:r>
              <w:rPr>
                <w:rFonts w:ascii="Times New Roman" w:cs="Times New Roman" w:eastAsia="Times New Roman" w:hAnsi="Times New Roman"/>
                <w:sz w:val="16"/>
                <w:szCs w:val="16"/>
                <w:b w:val="1"/>
                <w:bCs w:val="1"/>
                <w:color w:val="auto"/>
              </w:rPr>
              <w:t>GAAP Basis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40" w:type="dxa"/>
            <w:vAlign w:val="bottom"/>
          </w:tcPr>
          <w:p>
            <w:pPr>
              <w:spacing w:after="0"/>
              <w:rPr>
                <w:sz w:val="13"/>
                <w:szCs w:val="13"/>
                <w:color w:val="auto"/>
              </w:rPr>
            </w:pPr>
          </w:p>
        </w:tc>
        <w:tc>
          <w:tcPr>
            <w:tcW w:w="1560" w:type="dxa"/>
            <w:vAlign w:val="bottom"/>
          </w:tcPr>
          <w:p>
            <w:pPr>
              <w:jc w:val="right"/>
              <w:ind w:right="218"/>
              <w:spacing w:after="0" w:line="152" w:lineRule="exact"/>
              <w:rPr>
                <w:sz w:val="20"/>
                <w:szCs w:val="20"/>
                <w:color w:val="auto"/>
              </w:rPr>
            </w:pPr>
            <w:r>
              <w:rPr>
                <w:rFonts w:ascii="Times New Roman" w:cs="Times New Roman" w:eastAsia="Times New Roman" w:hAnsi="Times New Roman"/>
                <w:sz w:val="16"/>
                <w:szCs w:val="16"/>
                <w:b w:val="1"/>
                <w:bCs w:val="1"/>
                <w:color w:val="auto"/>
              </w:rPr>
              <w:t>Non-GAAP Basis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(Excluding Items)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9"/>
              </w:rPr>
              <w:t>(millions, except per share data)</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Borders>
              <w:bottom w:val="single" w:sz="8" w:color="CCEEFF"/>
            </w:tcBorders>
            <w:gridSpan w:val="2"/>
            <w:shd w:val="clear" w:color="auto" w:fill="CCEEFF"/>
          </w:tcPr>
          <w:p>
            <w:pPr>
              <w:ind w:left="200"/>
              <w:spacing w:after="0" w:line="177"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Borders>
              <w:bottom w:val="single" w:sz="8" w:color="auto"/>
            </w:tcBorders>
            <w:shd w:val="clear" w:color="auto" w:fill="CCEEFF"/>
          </w:tcPr>
          <w:p>
            <w:pPr>
              <w:jc w:val="right"/>
              <w:ind w:right="18"/>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744.8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(88.8)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833.6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Net income (loss) per diluted common share</w:t>
            </w:r>
          </w:p>
        </w:tc>
        <w:tc>
          <w:tcPr>
            <w:tcW w:w="180" w:type="dxa"/>
            <w:vAlign w:val="bottom"/>
            <w:tcBorders>
              <w:top w:val="single" w:sz="8" w:color="auto"/>
              <w:bottom w:val="single" w:sz="8" w:color="auto"/>
            </w:tcBorders>
          </w:tcPr>
          <w:p>
            <w:pPr>
              <w:jc w:val="right"/>
              <w:ind w:right="18"/>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2.17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(0.85)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8"/>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the first six months of fiscal 2025, the Company incurred charges as follows:</w:t>
      </w:r>
    </w:p>
    <w:p>
      <w:pPr>
        <w:spacing w:after="0" w:line="108" w:lineRule="exact"/>
        <w:rPr>
          <w:sz w:val="20"/>
          <w:szCs w:val="20"/>
          <w:color w:val="auto"/>
        </w:rPr>
      </w:pPr>
    </w:p>
    <w:p>
      <w:pPr>
        <w:ind w:left="580" w:hanging="287"/>
        <w:spacing w:after="0"/>
        <w:tabs>
          <w:tab w:leader="none" w:pos="58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Acquisition Costs </w:t>
      </w:r>
      <w:r>
        <w:rPr>
          <w:rFonts w:ascii="Times New Roman" w:cs="Times New Roman" w:eastAsia="Times New Roman" w:hAnsi="Times New Roman"/>
          <w:sz w:val="16"/>
          <w:szCs w:val="16"/>
          <w:color w:val="auto"/>
        </w:rPr>
        <w:t>- Total pre-tax charges of $268.4 million attributable to the Capri Acquisition. These charges include:</w:t>
      </w:r>
    </w:p>
    <w:p>
      <w:pPr>
        <w:spacing w:after="0" w:line="110" w:lineRule="exact"/>
        <w:rPr>
          <w:rFonts w:ascii="Times New Roman" w:cs="Times New Roman" w:eastAsia="Times New Roman" w:hAnsi="Times New Roman"/>
          <w:sz w:val="16"/>
          <w:szCs w:val="16"/>
          <w:b w:val="1"/>
          <w:bCs w:val="1"/>
          <w:i w:val="1"/>
          <w:iCs w:val="1"/>
          <w:color w:val="auto"/>
        </w:rPr>
      </w:pPr>
    </w:p>
    <w:p>
      <w:pPr>
        <w:jc w:val="both"/>
        <w:ind w:left="1180" w:hanging="298"/>
        <w:spacing w:after="0" w:line="276" w:lineRule="auto"/>
        <w:tabs>
          <w:tab w:leader="none" w:pos="117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Loss on extinguishment of debt - </w:t>
      </w:r>
      <w:r>
        <w:rPr>
          <w:rFonts w:ascii="Times New Roman" w:cs="Times New Roman" w:eastAsia="Times New Roman" w:hAnsi="Times New Roman"/>
          <w:sz w:val="16"/>
          <w:szCs w:val="16"/>
          <w:color w:val="auto"/>
        </w:rPr>
        <w:t>$119.4 million primarily related to redemption premiums, as well as unamortized debt issuance costs and discounts,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 of the redemption of the Capri Acquisition Senior Notes in the first six months of fiscal 2025 due to the termination of the Capri Acquisition agreement;</w:t>
      </w:r>
    </w:p>
    <w:p>
      <w:pPr>
        <w:spacing w:after="0" w:line="52" w:lineRule="exact"/>
        <w:rPr>
          <w:rFonts w:ascii="Times New Roman" w:cs="Times New Roman" w:eastAsia="Times New Roman" w:hAnsi="Times New Roman"/>
          <w:sz w:val="16"/>
          <w:szCs w:val="16"/>
          <w:color w:val="auto"/>
        </w:rPr>
      </w:pPr>
    </w:p>
    <w:p>
      <w:pPr>
        <w:ind w:left="1180" w:hanging="298"/>
        <w:spacing w:after="0"/>
        <w:tabs>
          <w:tab w:leader="none" w:pos="11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SG&amp;A expenses</w:t>
      </w:r>
      <w:r>
        <w:rPr>
          <w:rFonts w:ascii="Times New Roman" w:cs="Times New Roman" w:eastAsia="Times New Roman" w:hAnsi="Times New Roman"/>
          <w:sz w:val="16"/>
          <w:szCs w:val="16"/>
          <w:color w:val="auto"/>
        </w:rPr>
        <w:t>: $88.8 million primarily related to expense reimbursement payment made to Capri and professional fees recorded within Corporate;</w:t>
      </w:r>
    </w:p>
    <w:p>
      <w:pPr>
        <w:spacing w:after="0" w:line="110" w:lineRule="exact"/>
        <w:rPr>
          <w:rFonts w:ascii="Times New Roman" w:cs="Times New Roman" w:eastAsia="Times New Roman" w:hAnsi="Times New Roman"/>
          <w:sz w:val="16"/>
          <w:szCs w:val="16"/>
          <w:color w:val="auto"/>
        </w:rPr>
      </w:pPr>
    </w:p>
    <w:p>
      <w:pPr>
        <w:ind w:left="1180" w:hanging="298"/>
        <w:spacing w:after="0"/>
        <w:tabs>
          <w:tab w:leader="none" w:pos="1180" w:val="left"/>
        </w:tabs>
        <w:numPr>
          <w:ilvl w:val="1"/>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$60.2 million of financing related charges which primarily includes the net impact of the Capri Acquisition Senior Notes.</w:t>
      </w:r>
    </w:p>
    <w:p>
      <w:pPr>
        <w:spacing w:after="0" w:line="112" w:lineRule="exact"/>
        <w:rPr>
          <w:sz w:val="20"/>
          <w:szCs w:val="20"/>
          <w:color w:val="auto"/>
        </w:rPr>
      </w:pPr>
    </w:p>
    <w:p>
      <w:pPr>
        <w:ind w:firstLine="212"/>
        <w:spacing w:after="0" w:line="294" w:lineRule="auto"/>
        <w:rPr>
          <w:sz w:val="20"/>
          <w:szCs w:val="20"/>
          <w:color w:val="auto"/>
        </w:rPr>
      </w:pPr>
      <w:r>
        <w:rPr>
          <w:rFonts w:ascii="Times New Roman" w:cs="Times New Roman" w:eastAsia="Times New Roman" w:hAnsi="Times New Roman"/>
          <w:sz w:val="16"/>
          <w:szCs w:val="16"/>
          <w:color w:val="auto"/>
        </w:rPr>
        <w:t>These actions taken together negatively impacted operating income by $88.8 million, increased Loss on extinguishment of debt by $119.4 million, increased interest expense by $60.2 million and reduced the provision for income tax by $73.6 million resulting in a net decrease in net income by $194.8 million or $0.85 per diluted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Supplemental Segment Data</w:t>
            </w: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December 28, 2024</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700" w:type="dxa"/>
            <w:vAlign w:val="bottom"/>
            <w:tcBorders>
              <w:top w:val="single" w:sz="8" w:color="auto"/>
              <w:bottom w:val="single" w:sz="8" w:color="auto"/>
            </w:tcBorders>
            <w:gridSpan w:val="6"/>
          </w:tcPr>
          <w:p>
            <w:pPr>
              <w:jc w:val="center"/>
              <w:ind w:left="1278"/>
              <w:spacing w:after="0"/>
              <w:rPr>
                <w:sz w:val="20"/>
                <w:szCs w:val="20"/>
                <w:color w:val="auto"/>
              </w:rPr>
            </w:pPr>
            <w:r>
              <w:rPr>
                <w:rFonts w:ascii="Times New Roman" w:cs="Times New Roman" w:eastAsia="Times New Roman" w:hAnsi="Times New Roman"/>
                <w:sz w:val="16"/>
                <w:szCs w:val="16"/>
                <w:b w:val="1"/>
                <w:bCs w:val="1"/>
                <w:color w:val="auto"/>
              </w:rPr>
              <w:t>Items Affecting Comparability</w:t>
            </w:r>
          </w:p>
        </w:tc>
        <w:tc>
          <w:tcPr>
            <w:tcW w:w="16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b w:val="1"/>
                <w:bCs w:val="1"/>
                <w:color w:val="auto"/>
              </w:rPr>
              <w:t>GAAP Basis</w:t>
            </w:r>
          </w:p>
        </w:tc>
        <w:tc>
          <w:tcPr>
            <w:tcW w:w="180" w:type="dxa"/>
            <w:vAlign w:val="bottom"/>
          </w:tcPr>
          <w:p>
            <w:pPr>
              <w:spacing w:after="0"/>
              <w:rPr>
                <w:sz w:val="13"/>
                <w:szCs w:val="13"/>
                <w:color w:val="auto"/>
              </w:rPr>
            </w:pPr>
          </w:p>
        </w:tc>
        <w:tc>
          <w:tcPr>
            <w:tcW w:w="1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180" w:type="dxa"/>
            <w:vAlign w:val="bottom"/>
          </w:tcPr>
          <w:p>
            <w:pPr>
              <w:spacing w:after="0"/>
              <w:rPr>
                <w:sz w:val="13"/>
                <w:szCs w:val="13"/>
                <w:color w:val="auto"/>
              </w:rPr>
            </w:pPr>
          </w:p>
        </w:tc>
        <w:tc>
          <w:tcPr>
            <w:tcW w:w="1600" w:type="dxa"/>
            <w:vAlign w:val="bottom"/>
          </w:tcPr>
          <w:p>
            <w:pPr>
              <w:ind w:left="100"/>
              <w:spacing w:after="0" w:line="152" w:lineRule="exact"/>
              <w:rPr>
                <w:sz w:val="20"/>
                <w:szCs w:val="20"/>
                <w:color w:val="auto"/>
              </w:rPr>
            </w:pPr>
            <w:r>
              <w:rPr>
                <w:rFonts w:ascii="Times New Roman" w:cs="Times New Roman" w:eastAsia="Times New Roman" w:hAnsi="Times New Roman"/>
                <w:sz w:val="16"/>
                <w:szCs w:val="16"/>
                <w:b w:val="1"/>
                <w:bCs w:val="1"/>
                <w:color w:val="auto"/>
              </w:rPr>
              <w:t>Non-GAAP Basis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8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(Excluding Items)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Coach</w:t>
            </w:r>
          </w:p>
        </w:tc>
        <w:tc>
          <w:tcPr>
            <w:tcW w:w="21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Kate Spade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Weitzman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1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SG&amp;A expenses</w:t>
            </w:r>
          </w:p>
        </w:tc>
        <w:tc>
          <w:tcPr>
            <w:tcW w:w="1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39</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5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First Six Months of Fiscal 2024 Items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7"/>
          </w:tcPr>
          <w:p>
            <w:pPr>
              <w:jc w:val="center"/>
              <w:ind w:right="138"/>
              <w:spacing w:after="0"/>
              <w:rPr>
                <w:sz w:val="20"/>
                <w:szCs w:val="20"/>
                <w:color w:val="auto"/>
              </w:rPr>
            </w:pPr>
            <w:r>
              <w:rPr>
                <w:rFonts w:ascii="Times New Roman" w:cs="Times New Roman" w:eastAsia="Times New Roman" w:hAnsi="Times New Roman"/>
                <w:sz w:val="16"/>
                <w:szCs w:val="16"/>
                <w:color w:val="auto"/>
              </w:rPr>
              <w:t>Six Months Ended December 30, 2023</w:t>
            </w:r>
          </w:p>
        </w:tc>
      </w:tr>
      <w:tr>
        <w:trPr>
          <w:trHeight w:val="201"/>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Items Affecting Comparability</w:t>
            </w:r>
          </w:p>
        </w:tc>
        <w:tc>
          <w:tcPr>
            <w:tcW w:w="1580" w:type="dxa"/>
            <w:vAlign w:val="bottom"/>
            <w:tcBorders>
              <w:bottom w:val="single" w:sz="8" w:color="auto"/>
            </w:tcBorders>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98"/>
              <w:spacing w:after="0" w:line="152" w:lineRule="exact"/>
              <w:rPr>
                <w:sz w:val="20"/>
                <w:szCs w:val="20"/>
                <w:color w:val="auto"/>
              </w:rPr>
            </w:pPr>
            <w:r>
              <w:rPr>
                <w:rFonts w:ascii="Times New Roman" w:cs="Times New Roman" w:eastAsia="Times New Roman" w:hAnsi="Times New Roman"/>
                <w:sz w:val="16"/>
                <w:szCs w:val="16"/>
                <w:color w:val="auto"/>
              </w:rPr>
              <w:t>GAAP Basis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238"/>
              <w:spacing w:after="0" w:line="152" w:lineRule="exact"/>
              <w:rPr>
                <w:sz w:val="20"/>
                <w:szCs w:val="20"/>
                <w:color w:val="auto"/>
              </w:rPr>
            </w:pPr>
            <w:r>
              <w:rPr>
                <w:rFonts w:ascii="Times New Roman" w:cs="Times New Roman" w:eastAsia="Times New Roman" w:hAnsi="Times New Roman"/>
                <w:sz w:val="16"/>
                <w:szCs w:val="16"/>
                <w:color w:val="auto"/>
              </w:rPr>
              <w:t>Non-GAAP Basis</w:t>
            </w: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(As Reported)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Acquisition Costs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(Excluding Items)</w:t>
            </w:r>
          </w:p>
        </w:tc>
      </w:tr>
      <w:tr>
        <w:trPr>
          <w:trHeight w:val="170"/>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(millions, except per share data)</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r>
      <w:tr>
        <w:trPr>
          <w:trHeight w:val="209"/>
        </w:trPr>
        <w:tc>
          <w:tcPr>
            <w:tcW w:w="20" w:type="dxa"/>
            <w:vAlign w:val="bottom"/>
          </w:tcPr>
          <w:p>
            <w:pPr>
              <w:spacing w:after="0"/>
              <w:rPr>
                <w:sz w:val="18"/>
                <w:szCs w:val="18"/>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09"/>
        </w:trPr>
        <w:tc>
          <w:tcPr>
            <w:tcW w:w="20" w:type="dxa"/>
            <w:vAlign w:val="bottom"/>
          </w:tcPr>
          <w:p>
            <w:pPr>
              <w:spacing w:after="0"/>
              <w:rPr>
                <w:sz w:val="18"/>
                <w:szCs w:val="18"/>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26"/>
        </w:trPr>
        <w:tc>
          <w:tcPr>
            <w:tcW w:w="20" w:type="dxa"/>
            <w:vAlign w:val="bottom"/>
          </w:tcPr>
          <w:p>
            <w:pPr>
              <w:spacing w:after="0"/>
              <w:rPr>
                <w:sz w:val="19"/>
                <w:szCs w:val="19"/>
                <w:color w:val="auto"/>
              </w:rPr>
            </w:pPr>
          </w:p>
        </w:tc>
        <w:tc>
          <w:tcPr>
            <w:tcW w:w="59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w:t>
            </w: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r>
      <w:tr>
        <w:trPr>
          <w:trHeight w:val="20"/>
        </w:trPr>
        <w:tc>
          <w:tcPr>
            <w:tcW w:w="2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Net income (loss) per diluted common share</w:t>
            </w:r>
          </w:p>
        </w:tc>
        <w:tc>
          <w:tcPr>
            <w:tcW w:w="200" w:type="dxa"/>
            <w:vAlign w:val="bottom"/>
            <w:tcBorders>
              <w:top w:val="single" w:sz="8" w:color="auto"/>
              <w:bottom w:val="single" w:sz="8" w:color="auto"/>
            </w:tcBorders>
          </w:tcPr>
          <w:p>
            <w:pPr>
              <w:jc w:val="right"/>
              <w:ind w:right="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2.56</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the first six months of fiscal 2024, the Company incurred charges as follows:</w:t>
      </w:r>
    </w:p>
    <w:p>
      <w:pPr>
        <w:spacing w:after="0" w:line="108" w:lineRule="exact"/>
        <w:rPr>
          <w:sz w:val="20"/>
          <w:szCs w:val="20"/>
          <w:color w:val="auto"/>
        </w:rPr>
      </w:pPr>
    </w:p>
    <w:p>
      <w:pPr>
        <w:jc w:val="both"/>
        <w:ind w:left="580" w:hanging="287"/>
        <w:spacing w:after="0" w:line="276" w:lineRule="auto"/>
        <w:tabs>
          <w:tab w:leader="none" w:pos="576"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Acquisition Costs </w:t>
      </w:r>
      <w:r>
        <w:rPr>
          <w:rFonts w:ascii="Times New Roman" w:cs="Times New Roman" w:eastAsia="Times New Roman" w:hAnsi="Times New Roman"/>
          <w:sz w:val="16"/>
          <w:szCs w:val="16"/>
          <w:color w:val="auto"/>
        </w:rPr>
        <w:t>- Total pre-tax charges of $98.7 million attributable to the Capri Acquisition. These charges include $50.8 million of financing related charges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recorded in Interest expense, net, which primarily includes Bridge Facility financing fees, and the net impact of the Capri Acquisition Senior Notes, and $47.9 million primarily related to professional fees recorded in SG&amp;A expense within Corporate.</w:t>
      </w:r>
    </w:p>
    <w:p>
      <w:pPr>
        <w:spacing w:after="0" w:line="54" w:lineRule="exact"/>
        <w:rPr>
          <w:sz w:val="20"/>
          <w:szCs w:val="20"/>
          <w:color w:val="auto"/>
        </w:rPr>
      </w:pPr>
    </w:p>
    <w:p>
      <w:pPr>
        <w:ind w:firstLine="183"/>
        <w:spacing w:after="0" w:line="294" w:lineRule="auto"/>
        <w:rPr>
          <w:sz w:val="20"/>
          <w:szCs w:val="20"/>
          <w:color w:val="auto"/>
        </w:rPr>
      </w:pPr>
      <w:r>
        <w:rPr>
          <w:rFonts w:ascii="Times New Roman" w:cs="Times New Roman" w:eastAsia="Times New Roman" w:hAnsi="Times New Roman"/>
          <w:sz w:val="16"/>
          <w:szCs w:val="16"/>
          <w:color w:val="auto"/>
        </w:rPr>
        <w:t>These actions taken together negatively impacted operating income by $47.9 million, increased interest expense by $50.8 million and reduced the provision for income tax by $23.0 million resulting in a net decrease in net income by $75.7 million or $0.33 per diluted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Segment Data</w:t>
            </w: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48"/>
        </w:trPr>
        <w:tc>
          <w:tcPr>
            <w:tcW w:w="18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7"/>
          </w:tcPr>
          <w:p>
            <w:pPr>
              <w:jc w:val="center"/>
              <w:ind w:right="178"/>
              <w:spacing w:after="0"/>
              <w:rPr>
                <w:sz w:val="20"/>
                <w:szCs w:val="20"/>
                <w:color w:val="auto"/>
              </w:rPr>
            </w:pPr>
            <w:r>
              <w:rPr>
                <w:rFonts w:ascii="Times New Roman" w:cs="Times New Roman" w:eastAsia="Times New Roman" w:hAnsi="Times New Roman"/>
                <w:sz w:val="16"/>
                <w:szCs w:val="16"/>
                <w:color w:val="auto"/>
              </w:rPr>
              <w:t>Six Months Ended December 30, 2023</w:t>
            </w:r>
          </w:p>
        </w:tc>
      </w:tr>
      <w:tr>
        <w:trPr>
          <w:trHeight w:val="201"/>
        </w:trPr>
        <w:tc>
          <w:tcPr>
            <w:tcW w:w="1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Items Affecting Comparability</w:t>
            </w:r>
          </w:p>
        </w:tc>
        <w:tc>
          <w:tcPr>
            <w:tcW w:w="1700" w:type="dxa"/>
            <w:vAlign w:val="bottom"/>
            <w:tcBorders>
              <w:bottom w:val="single" w:sz="8" w:color="auto"/>
            </w:tcBorders>
          </w:tcPr>
          <w:p>
            <w:pPr>
              <w:spacing w:after="0"/>
              <w:rPr>
                <w:sz w:val="17"/>
                <w:szCs w:val="17"/>
                <w:color w:val="auto"/>
              </w:rPr>
            </w:pPr>
          </w:p>
        </w:tc>
      </w:tr>
      <w:tr>
        <w:trPr>
          <w:trHeight w:val="152"/>
        </w:trPr>
        <w:tc>
          <w:tcPr>
            <w:tcW w:w="1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color w:val="auto"/>
              </w:rPr>
              <w:t>GAAP Basis</w:t>
            </w: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jc w:val="right"/>
              <w:ind w:right="298"/>
              <w:spacing w:after="0" w:line="152" w:lineRule="exact"/>
              <w:rPr>
                <w:sz w:val="20"/>
                <w:szCs w:val="20"/>
                <w:color w:val="auto"/>
              </w:rPr>
            </w:pPr>
            <w:r>
              <w:rPr>
                <w:rFonts w:ascii="Times New Roman" w:cs="Times New Roman" w:eastAsia="Times New Roman" w:hAnsi="Times New Roman"/>
                <w:sz w:val="16"/>
                <w:szCs w:val="16"/>
                <w:color w:val="auto"/>
              </w:rPr>
              <w:t>Non-GAAP Basis</w:t>
            </w:r>
          </w:p>
        </w:tc>
      </w:tr>
      <w:tr>
        <w:trPr>
          <w:trHeight w:val="221"/>
        </w:trPr>
        <w:tc>
          <w:tcPr>
            <w:tcW w:w="1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(As Reported)</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Acquisition Costs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(Excluding Items)</w:t>
            </w:r>
          </w:p>
        </w:tc>
      </w:tr>
      <w:tr>
        <w:trPr>
          <w:trHeight w:val="170"/>
        </w:trPr>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(millions)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5"/>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Coach</w:t>
            </w:r>
          </w:p>
        </w:tc>
        <w:tc>
          <w:tcPr>
            <w:tcW w:w="2140" w:type="dxa"/>
            <w:vAlign w:val="bottom"/>
            <w:gridSpan w:val="2"/>
            <w:shd w:val="clear" w:color="auto" w:fill="CCEEFF"/>
          </w:tcPr>
          <w:p>
            <w:pPr>
              <w:jc w:val="center"/>
              <w:ind w:left="16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r>
      <w:tr>
        <w:trPr>
          <w:trHeight w:val="20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Kate Spade</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r>
      <w:tr>
        <w:trPr>
          <w:trHeight w:val="20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Stuart Weitzman</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9"/>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26"/>
        </w:trPr>
        <w:tc>
          <w:tcPr>
            <w:tcW w:w="3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SG&amp;A expenses</w:t>
            </w:r>
          </w:p>
        </w:tc>
        <w:tc>
          <w:tcPr>
            <w:tcW w:w="1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1,842.2</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40" w:type="dxa"/>
            <w:vAlign w:val="bottom"/>
            <w:gridSpan w:val="2"/>
          </w:tcPr>
          <w:p>
            <w:pPr>
              <w:jc w:val="center"/>
              <w:ind w:left="1618"/>
              <w:spacing w:after="0"/>
              <w:rPr>
                <w:sz w:val="20"/>
                <w:szCs w:val="20"/>
                <w:color w:val="auto"/>
              </w:rPr>
            </w:pPr>
            <w:r>
              <w:rPr>
                <w:rFonts w:ascii="Times New Roman" w:cs="Times New Roman" w:eastAsia="Times New Roman" w:hAnsi="Times New Roman"/>
                <w:sz w:val="16"/>
                <w:szCs w:val="16"/>
                <w:color w:val="auto"/>
                <w:w w:val="99"/>
              </w:rPr>
              <w:t>40</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2"/>
        </w:trPr>
        <w:tc>
          <w:tcPr>
            <w:tcW w:w="18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Tapestry, Inc. Summary – First Six Months of Fiscal 2025</w:t>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Currency Fluctuation Effects</w:t>
      </w:r>
    </w:p>
    <w:p>
      <w:pPr>
        <w:spacing w:after="0" w:line="114" w:lineRule="exact"/>
        <w:rPr>
          <w:sz w:val="20"/>
          <w:szCs w:val="20"/>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The change in net sales for the first six months of fiscal 2025 compared to the first six months of fiscal 2024 has been presented both including and excluding currency fluctuation impacts. All percentages shown in the tables below and the discussion that follows have been calculated using unrounded numbers.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5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color w:val="auto"/>
              </w:rPr>
              <w:t>Variance</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58"/>
              <w:spacing w:after="0" w:line="152" w:lineRule="exact"/>
              <w:rPr>
                <w:sz w:val="20"/>
                <w:szCs w:val="20"/>
                <w:color w:val="auto"/>
              </w:rPr>
            </w:pPr>
            <w:r>
              <w:rPr>
                <w:rFonts w:ascii="Times New Roman" w:cs="Times New Roman" w:eastAsia="Times New Roman" w:hAnsi="Times New Roman"/>
                <w:sz w:val="16"/>
                <w:szCs w:val="16"/>
                <w:color w:val="auto"/>
              </w:rPr>
              <w:t>Constant Currency</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December 30, 2023</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4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2,879.9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180.6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699.6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5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1"/>
        </w:trPr>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Tapestry</w:t>
            </w:r>
          </w:p>
        </w:tc>
        <w:tc>
          <w:tcPr>
            <w:tcW w:w="4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3,702.9</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7"/>
                <w:szCs w:val="17"/>
                <w:color w:val="auto"/>
              </w:rPr>
            </w:pPr>
          </w:p>
        </w:tc>
        <w:tc>
          <w:tcPr>
            <w:tcW w:w="1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Net sales in the first six months of fiscal 2025 increased 2.9% or $105.2 million to $3.70 billion. Excluding the impact of foreign currency, net sales increased by 2.9% or $104.4 million.</w:t>
      </w:r>
    </w:p>
    <w:p>
      <w:pPr>
        <w:spacing w:after="0" w:line="38" w:lineRule="exact"/>
        <w:rPr>
          <w:sz w:val="20"/>
          <w:szCs w:val="20"/>
          <w:color w:val="auto"/>
        </w:rPr>
      </w:pPr>
    </w:p>
    <w:p>
      <w:pPr>
        <w:jc w:val="both"/>
        <w:ind w:left="580" w:hanging="287"/>
        <w:spacing w:after="0" w:line="269" w:lineRule="auto"/>
        <w:tabs>
          <w:tab w:leader="none" w:pos="57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Coach Net Sales </w:t>
      </w:r>
      <w:r>
        <w:rPr>
          <w:rFonts w:ascii="Times New Roman" w:cs="Times New Roman" w:eastAsia="Times New Roman" w:hAnsi="Times New Roman"/>
          <w:sz w:val="16"/>
          <w:szCs w:val="16"/>
          <w:color w:val="auto"/>
        </w:rPr>
        <w:t>increased 6.7% or $180.6 million to $2.88 billion in the first six months of fiscal 2025. Excluding the impact of foreign currency,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increased 6.7% or $179.7 million. This increase in net sales was primarily due to an increase of $168.1 million in DTC sales driven by an increase in both e-commerce and store sales, mainly driven by North America and Europe. The increase in net sales was also attributed to a $18.5 million increase in wholesale sales, mainly driven by Europe and Greater China.</w:t>
      </w:r>
    </w:p>
    <w:p>
      <w:pPr>
        <w:spacing w:after="0" w:line="58" w:lineRule="exact"/>
        <w:rPr>
          <w:rFonts w:ascii="Times New Roman" w:cs="Times New Roman" w:eastAsia="Times New Roman" w:hAnsi="Times New Roman"/>
          <w:sz w:val="16"/>
          <w:szCs w:val="16"/>
          <w:color w:val="auto"/>
        </w:rPr>
      </w:pPr>
    </w:p>
    <w:p>
      <w:pPr>
        <w:jc w:val="both"/>
        <w:ind w:left="580" w:hanging="287"/>
        <w:spacing w:after="0" w:line="276" w:lineRule="auto"/>
        <w:tabs>
          <w:tab w:leader="none" w:pos="576"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Kate Spade Net Sales </w:t>
      </w:r>
      <w:r>
        <w:rPr>
          <w:rFonts w:ascii="Times New Roman" w:cs="Times New Roman" w:eastAsia="Times New Roman" w:hAnsi="Times New Roman"/>
          <w:sz w:val="16"/>
          <w:szCs w:val="16"/>
          <w:color w:val="auto"/>
        </w:rPr>
        <w:t>decreased 8.4% or $64.0 million to $699.6 million in the first six months of fiscal 2025. Excluding the impact of foreign currency,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decreased 8.3% or $63.6 million. This decrease in net sales was due to a decrease of $73.6 million in DTC sales as a result of lower store and to a lesser extent, e-commerce sales. The decrease in DTC sales was partially offset by an increase of $8.5 million in wholesale sales.</w:t>
      </w:r>
    </w:p>
    <w:p>
      <w:pPr>
        <w:spacing w:after="0" w:line="52" w:lineRule="exact"/>
        <w:rPr>
          <w:rFonts w:ascii="Times New Roman" w:cs="Times New Roman" w:eastAsia="Times New Roman" w:hAnsi="Times New Roman"/>
          <w:sz w:val="16"/>
          <w:szCs w:val="16"/>
          <w:i w:val="1"/>
          <w:iCs w:val="1"/>
          <w:color w:val="auto"/>
        </w:rPr>
      </w:pPr>
    </w:p>
    <w:p>
      <w:pPr>
        <w:ind w:left="580" w:hanging="287"/>
        <w:spacing w:after="0" w:line="297" w:lineRule="auto"/>
        <w:tabs>
          <w:tab w:leader="none" w:pos="576"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Stuart Weitzman Net Sales </w:t>
      </w:r>
      <w:r>
        <w:rPr>
          <w:rFonts w:ascii="Times New Roman" w:cs="Times New Roman" w:eastAsia="Times New Roman" w:hAnsi="Times New Roman"/>
          <w:sz w:val="16"/>
          <w:szCs w:val="16"/>
          <w:color w:val="auto"/>
        </w:rPr>
        <w:t>decreased 8.5% or $11.4 million to $123.4 million in the first six months of fiscal 2025. Excluding the impact of foreign currency,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decreased 8.7% or $11.7 million.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Variance</w:t>
            </w:r>
          </w:p>
        </w:tc>
        <w:tc>
          <w:tcPr>
            <w:tcW w:w="102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2,234.4</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77.6 %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74.7 %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463.2</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66.2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(6.1)</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w:t>
            </w: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57.0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(14.7)</w:t>
            </w:r>
          </w:p>
        </w:tc>
      </w:tr>
      <w:tr>
        <w:trPr>
          <w:trHeight w:val="20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2,768.0</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74.8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2,590.9</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Gross profit increased 6.8% or $177.1 million to $2.77 billion in the first six months of fiscal 2025 from $2.59 billion in the first six months of fiscal 2024. Gross margin increased 280 basis points to 74.8% in the first six months of fiscal 2025 from 72.0% in the first six months of fiscal 2024. This increase in Gross margin was primarily attributed to net pricing improvements and lower freight costs. Refer to "Current Macroeconomic Conditions and Outlook" for further information.</w:t>
      </w:r>
    </w:p>
    <w:p>
      <w:pPr>
        <w:spacing w:after="0" w:line="5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4" w:name="page45"/>
    <w:bookmarkEnd w:id="44"/>
    <w:tbl>
      <w:tblPr>
        <w:tblLayout w:type="fixed"/>
        <w:tblInd w:w="2" w:type="dxa"/>
        <w:tblCellMar>
          <w:top w:w="0" w:type="dxa"/>
          <w:left w:w="0" w:type="dxa"/>
          <w:bottom w:w="0" w:type="dxa"/>
          <w:right w:w="0" w:type="dxa"/>
        </w:tblCellMar>
      </w:tblPr>
      <w:tr>
        <w:trPr>
          <w:trHeight w:val="218"/>
        </w:trPr>
        <w:tc>
          <w:tcPr>
            <w:tcW w:w="51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("SG&amp;A")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Variance</w:t>
            </w:r>
          </w:p>
        </w:tc>
        <w:tc>
          <w:tcPr>
            <w:tcW w:w="102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1,226.9</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w w:val="99"/>
              </w:rPr>
              <w:t>42.5 %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41.3 %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368.2</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52.5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(6.7)</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63.8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(12.1)</w:t>
            </w:r>
          </w:p>
        </w:tc>
      </w:tr>
      <w:tr>
        <w:trPr>
          <w:trHeight w:val="209"/>
        </w:trPr>
        <w:tc>
          <w:tcPr>
            <w:tcW w:w="2100" w:type="dxa"/>
            <w:vAlign w:val="bottom"/>
            <w:tcBorders>
              <w:bottom w:val="single" w:sz="8" w:color="CCEEFF"/>
            </w:tcBorders>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Corporate</w:t>
            </w:r>
            <w:r>
              <w:rPr>
                <w:rFonts w:ascii="Times New Roman" w:cs="Times New Roman" w:eastAsia="Times New Roman" w:hAnsi="Times New Roman"/>
                <w:sz w:val="21"/>
                <w:szCs w:val="21"/>
                <w:b w:val="1"/>
                <w:bCs w:val="1"/>
                <w:color w:val="auto"/>
                <w:vertAlign w:val="superscript"/>
              </w:rPr>
              <w:t>(1)(2)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349.3</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NA</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20.3</w:t>
            </w:r>
          </w:p>
        </w:tc>
      </w:tr>
      <w:tr>
        <w:trPr>
          <w:trHeight w:val="22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2,023.2</w:t>
            </w:r>
          </w:p>
        </w:tc>
        <w:tc>
          <w:tcPr>
            <w:tcW w:w="160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54.6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60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jc w:val="both"/>
        <w:ind w:left="2" w:firstLine="294"/>
        <w:spacing w:after="0" w:line="265" w:lineRule="auto"/>
        <w:rPr>
          <w:sz w:val="20"/>
          <w:szCs w:val="20"/>
          <w:color w:val="auto"/>
        </w:rPr>
      </w:pPr>
      <w:r>
        <w:rPr>
          <w:rFonts w:ascii="Times New Roman" w:cs="Times New Roman" w:eastAsia="Times New Roman" w:hAnsi="Times New Roman"/>
          <w:sz w:val="16"/>
          <w:szCs w:val="16"/>
          <w:color w:val="auto"/>
        </w:rPr>
        <w:t>SG&amp;A expenses increased 7.0% or $133.1 million to $2.02 billion in the first six months of fiscal 2025 as compared to $1.89 billion in the first six months of fiscal 2024. As a percentage of net sales, SG&amp;A expenses increased to 54.6% during the first six months of fiscal 2025 from 52.5% during the first six months of fiscal 2024. Excluding items affecting comparability of $88.8 million in the first six months of fiscal 2025, SG&amp;A expenses increased 5.0% or $92.2 million to $1.93 billion from $1.84 billion in the first six months of fiscal 2024. SG&amp;A expenses as a percentage of net sales increased 110 basis points to 52.3% compared to 51.2% in the first six months of fiscal 2024. This increase in SG&amp;A as a percentage of net sales was primarily due to higher marketing spend.</w:t>
      </w:r>
    </w:p>
    <w:p>
      <w:pPr>
        <w:spacing w:after="0" w:line="64" w:lineRule="exact"/>
        <w:rPr>
          <w:sz w:val="20"/>
          <w:szCs w:val="20"/>
          <w:color w:val="auto"/>
        </w:rPr>
      </w:pPr>
    </w:p>
    <w:p>
      <w:pPr>
        <w:ind w:left="302" w:hanging="302"/>
        <w:spacing w:after="0" w:line="231" w:lineRule="auto"/>
        <w:tabs>
          <w:tab w:leader="none" w:pos="291"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first six months of fiscal 2025, Corporate incurred charges affecting comparability of $88.8 million. Excluding those items affecting comparability, SG&amp;A expenses increased 7.5% or $18.1 million to $260.5 million in the first six months of fiscal 2025 as compared to $242.4 million in the first six months of fiscal 2024.</w:t>
      </w:r>
    </w:p>
    <w:p>
      <w:pPr>
        <w:spacing w:after="0" w:line="53" w:lineRule="exact"/>
        <w:rPr>
          <w:rFonts w:ascii="Times New Roman" w:cs="Times New Roman" w:eastAsia="Times New Roman" w:hAnsi="Times New Roman"/>
          <w:sz w:val="21"/>
          <w:szCs w:val="21"/>
          <w:color w:val="auto"/>
          <w:vertAlign w:val="superscript"/>
        </w:rPr>
      </w:pPr>
    </w:p>
    <w:p>
      <w:pPr>
        <w:ind w:left="282" w:hanging="282"/>
        <w:spacing w:after="0"/>
        <w:tabs>
          <w:tab w:leader="none" w:pos="282"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expenses, which are included within SG&amp;A expenses discussed above but are not directly attributable to a reportable segment.</w:t>
      </w:r>
    </w:p>
    <w:p>
      <w:pPr>
        <w:spacing w:after="0" w:line="77"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21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0"/>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Variance</w:t>
            </w:r>
          </w:p>
        </w:tc>
        <w:tc>
          <w:tcPr>
            <w:tcW w:w="1020" w:type="dxa"/>
            <w:vAlign w:val="bottom"/>
            <w:tcBorders>
              <w:bottom w:val="single" w:sz="8" w:color="auto"/>
            </w:tcBorders>
          </w:tcPr>
          <w:p>
            <w:pPr>
              <w:spacing w:after="0"/>
              <w:rPr>
                <w:sz w:val="17"/>
                <w:szCs w:val="17"/>
                <w:color w:val="auto"/>
              </w:rPr>
            </w:pPr>
          </w:p>
        </w:tc>
      </w:tr>
      <w:tr>
        <w:trPr>
          <w:trHeight w:val="165"/>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280" w:type="dxa"/>
            <w:vAlign w:val="bottom"/>
          </w:tcPr>
          <w:p>
            <w:pPr>
              <w:spacing w:after="0"/>
              <w:rPr>
                <w:sz w:val="19"/>
                <w:szCs w:val="19"/>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Coach</w:t>
            </w: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1,007.5</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35.0 %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33.3 %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0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Kate Spade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13.6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Stuart Weitzman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1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(17.4)</w:t>
            </w:r>
          </w:p>
        </w:tc>
      </w:tr>
      <w:tr>
        <w:trPr>
          <w:trHeight w:val="20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(349.3)</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w w:val="95"/>
              </w:rPr>
              <w:t>NA</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jc w:val="center"/>
              <w:ind w:left="678"/>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(20.3)</w:t>
            </w:r>
          </w:p>
        </w:tc>
      </w:tr>
      <w:tr>
        <w:trPr>
          <w:trHeight w:val="22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Tapestry</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744.8</w:t>
            </w:r>
          </w:p>
        </w:tc>
        <w:tc>
          <w:tcPr>
            <w:tcW w:w="16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20.1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160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both"/>
        <w:ind w:left="2" w:firstLine="294"/>
        <w:spacing w:after="0" w:line="264" w:lineRule="auto"/>
        <w:rPr>
          <w:sz w:val="20"/>
          <w:szCs w:val="20"/>
          <w:color w:val="auto"/>
        </w:rPr>
      </w:pPr>
      <w:r>
        <w:rPr>
          <w:rFonts w:ascii="Times New Roman" w:cs="Times New Roman" w:eastAsia="Times New Roman" w:hAnsi="Times New Roman"/>
          <w:sz w:val="16"/>
          <w:szCs w:val="16"/>
          <w:color w:val="auto"/>
        </w:rPr>
        <w:t>Operating income increased $44.0 million to $744.8 million in the first six months of fiscal 2025 as compared to $700.8 million in the first six months of fiscal 2024. Operating margin increased to 20.1% in the first six months of fiscal 2025 as compared to 19.5% in the first six months of fiscal 2024. Excluding items affecting comparability of $88.8 million in the first six months of fiscal 2025, operating income increased $84.9 million to $833.6 million from $748.7 million in the first six months of fiscal 2024; and operating margin increased 170 basis points to 22.5% in the first six months of fiscal 2025 as compared to 20.8% in the first six months of fiscal 2024. This increase in operating margin was primarily attributed to a 280 basis points increase in gross margin partially offset by an increase of 110 basis points in SG&amp;A as a percentage of sales.</w:t>
      </w:r>
    </w:p>
    <w:p>
      <w:pPr>
        <w:spacing w:after="0" w:line="262" w:lineRule="exact"/>
        <w:rPr>
          <w:sz w:val="20"/>
          <w:szCs w:val="20"/>
          <w:color w:val="auto"/>
        </w:rPr>
      </w:pPr>
    </w:p>
    <w:p>
      <w:pPr>
        <w:jc w:val="both"/>
        <w:ind w:left="582" w:hanging="287"/>
        <w:spacing w:after="0" w:line="289" w:lineRule="auto"/>
        <w:tabs>
          <w:tab w:leader="none" w:pos="578"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Coach Operating Income </w:t>
      </w:r>
      <w:r>
        <w:rPr>
          <w:rFonts w:ascii="Times New Roman" w:cs="Times New Roman" w:eastAsia="Times New Roman" w:hAnsi="Times New Roman"/>
          <w:sz w:val="16"/>
          <w:szCs w:val="16"/>
          <w:color w:val="auto"/>
        </w:rPr>
        <w:t>increased $107.9 million to $1.01 billion in the first six months of fiscal 2025, resulting in an operating margin increase of 170 basis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points to 35.0%, as compared to $899.6 million and 33.3%, respectively, in the first six months of fiscal 2024. This increase in operating margin was primarily attributed to:</w:t>
      </w:r>
    </w:p>
    <w:p>
      <w:pPr>
        <w:spacing w:after="0" w:line="244" w:lineRule="exact"/>
        <w:rPr>
          <w:rFonts w:ascii="Times New Roman" w:cs="Times New Roman" w:eastAsia="Times New Roman" w:hAnsi="Times New Roman"/>
          <w:sz w:val="16"/>
          <w:szCs w:val="16"/>
          <w:b w:val="1"/>
          <w:bCs w:val="1"/>
          <w:i w:val="1"/>
          <w:iCs w:val="1"/>
          <w:color w:val="auto"/>
        </w:rPr>
      </w:pPr>
    </w:p>
    <w:p>
      <w:pPr>
        <w:ind w:left="1182" w:hanging="298"/>
        <w:spacing w:after="0"/>
        <w:tabs>
          <w:tab w:leader="none" w:pos="118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Gross Margin, </w:t>
      </w:r>
      <w:r>
        <w:rPr>
          <w:rFonts w:ascii="Times New Roman" w:cs="Times New Roman" w:eastAsia="Times New Roman" w:hAnsi="Times New Roman"/>
          <w:sz w:val="16"/>
          <w:szCs w:val="16"/>
          <w:color w:val="auto"/>
        </w:rPr>
        <w:t>increased 290 basis points mainly due to net pricing improvements;</w:t>
      </w:r>
    </w:p>
    <w:p>
      <w:pPr>
        <w:spacing w:after="0" w:line="110" w:lineRule="exact"/>
        <w:rPr>
          <w:rFonts w:ascii="Times New Roman" w:cs="Times New Roman" w:eastAsia="Times New Roman" w:hAnsi="Times New Roman"/>
          <w:sz w:val="16"/>
          <w:szCs w:val="16"/>
          <w:color w:val="auto"/>
        </w:rPr>
      </w:pPr>
    </w:p>
    <w:p>
      <w:pPr>
        <w:ind w:left="1182" w:hanging="298"/>
        <w:spacing w:after="0"/>
        <w:tabs>
          <w:tab w:leader="none" w:pos="118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SG&amp;A expenses as a percentage of net sales</w:t>
      </w:r>
      <w:r>
        <w:rPr>
          <w:rFonts w:ascii="Times New Roman" w:cs="Times New Roman" w:eastAsia="Times New Roman" w:hAnsi="Times New Roman"/>
          <w:sz w:val="16"/>
          <w:szCs w:val="16"/>
          <w:color w:val="auto"/>
        </w:rPr>
        <w:t>, increased 120 basis points mainly due to higher marketing spend and an increase in distribution costs.</w:t>
      </w:r>
    </w:p>
    <w:p>
      <w:pPr>
        <w:spacing w:after="0" w:line="110" w:lineRule="exact"/>
        <w:rPr>
          <w:rFonts w:ascii="Times New Roman" w:cs="Times New Roman" w:eastAsia="Times New Roman" w:hAnsi="Times New Roman"/>
          <w:sz w:val="16"/>
          <w:szCs w:val="16"/>
          <w:color w:val="auto"/>
        </w:rPr>
      </w:pPr>
    </w:p>
    <w:p>
      <w:pPr>
        <w:jc w:val="both"/>
        <w:ind w:left="582" w:hanging="287"/>
        <w:spacing w:after="0" w:line="276" w:lineRule="auto"/>
        <w:tabs>
          <w:tab w:leader="none" w:pos="578"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Kate Spade Operating Income </w:t>
      </w:r>
      <w:r>
        <w:rPr>
          <w:rFonts w:ascii="Times New Roman" w:cs="Times New Roman" w:eastAsia="Times New Roman" w:hAnsi="Times New Roman"/>
          <w:sz w:val="16"/>
          <w:szCs w:val="16"/>
          <w:color w:val="auto"/>
        </w:rPr>
        <w:t>decreased $3.7 million to $95.0 million in the first six months of fiscal 2025, resulting in an operating margin increase of 70 basis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points to 13.6%, as compared to $98.7 million and 12.9%, respectively, in the first six months of fiscal 2024. This decrease in operating margin was primarily attributed to:</w:t>
      </w:r>
    </w:p>
    <w:p>
      <w:pPr>
        <w:spacing w:after="0" w:line="200" w:lineRule="exact"/>
        <w:rPr>
          <w:sz w:val="20"/>
          <w:szCs w:val="20"/>
          <w:color w:val="auto"/>
        </w:rPr>
      </w:pPr>
    </w:p>
    <w:p>
      <w:pPr>
        <w:spacing w:after="0" w:line="2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917" w:right="339" w:bottom="1440" w:gutter="0" w:footer="0" w:header="0"/>
        </w:sectPr>
      </w:pPr>
    </w:p>
    <w:bookmarkStart w:id="45" w:name="page46"/>
    <w:bookmarkEnd w:id="45"/>
    <w:p>
      <w:pPr>
        <w:ind w:left="1180" w:hanging="298"/>
        <w:spacing w:after="0"/>
        <w:tabs>
          <w:tab w:leader="none" w:pos="11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Gross Margin</w:t>
      </w:r>
      <w:r>
        <w:rPr>
          <w:rFonts w:ascii="Times New Roman" w:cs="Times New Roman" w:eastAsia="Times New Roman" w:hAnsi="Times New Roman"/>
          <w:sz w:val="16"/>
          <w:szCs w:val="16"/>
          <w:color w:val="auto"/>
        </w:rPr>
        <w:t>, increased 160 basis points mainly due to lower duty expenses and lower freight costs;</w:t>
      </w:r>
    </w:p>
    <w:p>
      <w:pPr>
        <w:spacing w:after="0" w:line="110" w:lineRule="exact"/>
        <w:rPr>
          <w:rFonts w:ascii="Times New Roman" w:cs="Times New Roman" w:eastAsia="Times New Roman" w:hAnsi="Times New Roman"/>
          <w:sz w:val="16"/>
          <w:szCs w:val="16"/>
          <w:color w:val="auto"/>
        </w:rPr>
      </w:pPr>
    </w:p>
    <w:p>
      <w:pPr>
        <w:ind w:left="1180" w:hanging="298"/>
        <w:spacing w:after="0" w:line="297" w:lineRule="auto"/>
        <w:tabs>
          <w:tab w:leader="none" w:pos="1177"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SG&amp;A expenses as a percentage of net sales, </w:t>
      </w:r>
      <w:r>
        <w:rPr>
          <w:rFonts w:ascii="Times New Roman" w:cs="Times New Roman" w:eastAsia="Times New Roman" w:hAnsi="Times New Roman"/>
          <w:sz w:val="16"/>
          <w:szCs w:val="16"/>
          <w:color w:val="auto"/>
        </w:rPr>
        <w:t>increased 90 basis points mainly due to deleverage of marketing spend and compensation costs due to lower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sales.</w:t>
      </w:r>
    </w:p>
    <w:p>
      <w:pPr>
        <w:spacing w:after="0" w:line="35" w:lineRule="exact"/>
        <w:rPr>
          <w:rFonts w:ascii="Times New Roman" w:cs="Times New Roman" w:eastAsia="Times New Roman" w:hAnsi="Times New Roman"/>
          <w:sz w:val="16"/>
          <w:szCs w:val="16"/>
          <w:color w:val="auto"/>
        </w:rPr>
      </w:pPr>
    </w:p>
    <w:p>
      <w:pPr>
        <w:ind w:left="580" w:hanging="287"/>
        <w:spacing w:after="0" w:line="297" w:lineRule="auto"/>
        <w:tabs>
          <w:tab w:leader="none" w:pos="576"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Stuart Weitzman Operating Loss </w:t>
      </w:r>
      <w:r>
        <w:rPr>
          <w:rFonts w:ascii="Times New Roman" w:cs="Times New Roman" w:eastAsia="Times New Roman" w:hAnsi="Times New Roman"/>
          <w:sz w:val="16"/>
          <w:szCs w:val="16"/>
          <w:color w:val="auto"/>
        </w:rPr>
        <w:t>increased $1.2 million to a loss of $8.4 million in the first six months of fiscal 2025, resulting in an operating margin decrease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150 basis points to (6.8)%, as compared to an operating loss of $7.2 million in the first six months of fiscal 2024 and an operating margin of (5.3)%.</w:t>
      </w:r>
    </w:p>
    <w:p>
      <w:pPr>
        <w:spacing w:after="0" w:line="35" w:lineRule="exact"/>
        <w:rPr>
          <w:rFonts w:ascii="Times New Roman" w:cs="Times New Roman" w:eastAsia="Times New Roman" w:hAnsi="Times New Roman"/>
          <w:sz w:val="16"/>
          <w:szCs w:val="16"/>
          <w:b w:val="1"/>
          <w:bCs w:val="1"/>
          <w:i w:val="1"/>
          <w:iCs w:val="1"/>
          <w:color w:val="auto"/>
        </w:rPr>
      </w:pPr>
    </w:p>
    <w:p>
      <w:pPr>
        <w:jc w:val="both"/>
        <w:ind w:left="580" w:hanging="287"/>
        <w:spacing w:after="0" w:line="269" w:lineRule="auto"/>
        <w:tabs>
          <w:tab w:leader="none" w:pos="576"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Corporate Operating Expenses </w:t>
      </w:r>
      <w:r>
        <w:rPr>
          <w:rFonts w:ascii="Times New Roman" w:cs="Times New Roman" w:eastAsia="Times New Roman" w:hAnsi="Times New Roman"/>
          <w:sz w:val="16"/>
          <w:szCs w:val="16"/>
          <w:color w:val="auto"/>
        </w:rPr>
        <w:t>increased 20.3% or $59.0 million to $349.3 million in the first six months of fiscal 2025. Excluding items affecting comparability,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operating expenses increased $18.1 million to $260.5 million from $242.4 million in the first six months of fiscal 2024. This increase in operating expenses was attributed to an increase in SG&amp;A expenses primarily due to higher professional fees, higher compensation costs and higher information technology costs, partially offset by lower occupancy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on Extinguishment of Debt</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Loss on extinguishment of debt increased $120.1 million in the first six months of fiscal 2025 to $120.1 million as compared to $0.0 million in the first six months of fiscal 2024. Excluding items affecting comparability, Loss on extinguishment of debt was $0.7 million in the first six months of fiscal 2025 as compared to $0.0 million in the first six months of fiscal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 net</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Net Interest expense decreased $7.3 million to $55.2 million in the first six months of fiscal 2025 as compared to $62.5 million in the first six months of fiscal 2024. Excluding items affecting comparability, net interest expense decreased $16.7 million to Interest income of $5.0 million from Interest expense of $11.7 million in the first six months of fiscal 2024. This decrease in net interest expense was mainly due to a decrease in interest expense on the Term Loan due 2027 and higher interest income partially offset by higher interest expense on the 2030 and 2035 Senior Notes, Revolving Credit Facility and Term Loan Credit Agreement.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Other expense (income) decreased $1.8 million to Other income of $1.5 million in the first six months of fiscal 2025 as compared to Other income of $3.3 million in the first six months of fiscal 2024. This decrease in Other income was related to a decrease in foreign exchange gains.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effective tax rate was 13.0% in the first six months of fiscal 2025 as compared to 19.4% in the first six months of fiscal 2024. Excluding items affecting comparability, the effective tax rate was 17.6% in the first six months of fiscal 2025 as compared to 19.9% in the first six months of fiscal 2024. This decrease in our effective tax rate was primarily attributable to the geographic mix of earnings and excess tax windfall related to the exercise of share-based compensation awards.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Net income decreased 3.9% or $20.3 million to $497.0 million in the first six months of fiscal 2025 as compared to $517.3 million in the first six months of fiscal 2024. Excluding items affecting comparability, net income increased $98.8 million to $691.8 million in the first six months of fiscal 2025 from $593.0 million in the first six months of fiscal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Net income per diluted share was $2.17 in the first six months of fiscal 2025 as compared to net income per diluted share of $2.23 in the first six months of fiscal 2024. Excluding items affecting comparability, net income per diluted share increased $0.46 to $3.02 in the first six months of fiscal 2025 from $2.56 in the first six months of fiscal 2024, primarily due to higher net income and a decrease in shares outstanding.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NON-GAAP MEASURES</w:t>
      </w:r>
    </w:p>
    <w:p>
      <w:pPr>
        <w:spacing w:after="0" w:line="1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Company’s reported results are presented in accordance with GAAP. The reported SG&amp;A expenses, Operating income, Interest expense, Provision for income taxes, Net income and earnings per diluted share in the second quarter and first six months of fiscal 2025 and fiscal 2024 and the reported Loss on extinguishment of debt in the second quarter and first six months of fiscal 2025, reflect certain items affecting comparability, including the impact of Acquisition costs. As a supplement to the Company's reported results, these metrics are also reported on a non-GAAP basis to exclude the impact of these items along with a reconciliation to the most directly comparable GAAP measures.</w:t>
      </w:r>
    </w:p>
    <w:p>
      <w:pPr>
        <w:spacing w:after="0" w:line="6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59"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6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6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5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8"/>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CONDITION</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94"/>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0"/>
        </w:trPr>
        <w:tc>
          <w:tcPr>
            <w:tcW w:w="6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52"/>
        </w:trPr>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6"/>
                <w:szCs w:val="16"/>
                <w:color w:val="auto"/>
              </w:rPr>
              <w:t>December 30,</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1"/>
        </w:trPr>
        <w:tc>
          <w:tcPr>
            <w:tcW w:w="6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Change</w:t>
            </w:r>
          </w:p>
        </w:tc>
      </w:tr>
      <w:tr>
        <w:trPr>
          <w:trHeight w:val="17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r>
      <w:tr>
        <w:trPr>
          <w:trHeight w:val="209"/>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1,634.4</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(12,585.0)</w:t>
            </w:r>
          </w:p>
        </w:tc>
      </w:tr>
      <w:tr>
        <w:trPr>
          <w:trHeight w:val="20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26"/>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Company’s cash and cash equivalents decreased by $5.16 billion in the first six months of fiscal 2025 as compared to an increase of $6.11 billion in the first six months of fiscal 2024, as discussed below.</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Net cash provided by operating activities decreased $276.3 million primarily due to changes in operating assets and liabilities of $259.3 million, lower net income of $20.3 million, as well as higher impact of non-cash adjustments of $3.3 million.</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$259.3 million decrease in changes in operating asset and liability balances were primarily driven by the following:</w:t>
      </w:r>
    </w:p>
    <w:p>
      <w:pPr>
        <w:spacing w:after="0" w:line="110" w:lineRule="exact"/>
        <w:rPr>
          <w:sz w:val="20"/>
          <w:szCs w:val="20"/>
          <w:color w:val="auto"/>
        </w:rPr>
      </w:pPr>
    </w:p>
    <w:p>
      <w:pPr>
        <w:ind w:left="580" w:hanging="287"/>
        <w:spacing w:after="0" w:line="294" w:lineRule="auto"/>
        <w:tabs>
          <w:tab w:leader="none" w:pos="5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Inventories were a use of cash of $116.7 million in the first six months of fiscal 2025 compared to a source of cash of $103.8 million in the first six months of fiscal 2024, primarily driven by increased inventory purchases for Coach to support continued sales growth.</w:t>
      </w:r>
    </w:p>
    <w:p>
      <w:pPr>
        <w:spacing w:after="0" w:line="40" w:lineRule="exact"/>
        <w:rPr>
          <w:rFonts w:ascii="Times New Roman" w:cs="Times New Roman" w:eastAsia="Times New Roman" w:hAnsi="Times New Roman"/>
          <w:sz w:val="16"/>
          <w:szCs w:val="16"/>
          <w:color w:val="auto"/>
        </w:rPr>
      </w:pPr>
    </w:p>
    <w:p>
      <w:pPr>
        <w:jc w:val="both"/>
        <w:ind w:left="580" w:hanging="287"/>
        <w:spacing w:after="0" w:line="275" w:lineRule="auto"/>
        <w:tabs>
          <w:tab w:leader="none" w:pos="5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liabilities were a use of cash of $11.7 million in the first six months of fiscal 2025 compared to a source of cash of $87.0 million in the first six months of fiscal 2024, primarily driven by a decrease in accrued interest due to the repayment of the Capri Acquisition Senior Notes, partially offset by an increase in accrued advertising.</w:t>
      </w:r>
    </w:p>
    <w:p>
      <w:pPr>
        <w:spacing w:after="0" w:line="54" w:lineRule="exact"/>
        <w:rPr>
          <w:rFonts w:ascii="Times New Roman" w:cs="Times New Roman" w:eastAsia="Times New Roman" w:hAnsi="Times New Roman"/>
          <w:sz w:val="16"/>
          <w:szCs w:val="16"/>
          <w:color w:val="auto"/>
        </w:rPr>
      </w:pPr>
    </w:p>
    <w:p>
      <w:pPr>
        <w:ind w:left="580" w:hanging="287"/>
        <w:spacing w:after="0" w:line="294" w:lineRule="auto"/>
        <w:tabs>
          <w:tab w:leader="none" w:pos="5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liabilities were a source of cash of $8.8 million in the first six months of fiscal 2025 compared to a use of cash of $29.8 million in the first six months of fiscal 2024, primarily driven by the timing of transfer tax payments.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Net cash provided by investing activities in the first six months of fiscal 2025 was $979.4 million as compared to a use of cash of $655.0 million in the first six months of fiscal 2024, resulting in a $1.63 billion increase in net cash provided by investing activities.</w:t>
      </w:r>
    </w:p>
    <w:p>
      <w:pPr>
        <w:spacing w:after="0" w:line="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$979.4 million of cash provided in the first six months of fiscal 2025 was primarily due to proceeds from maturities and sales of investments of $2.92 billion, partially offset by purchases of investments of $1.89 billion, mainly related to the proceeds of the Capri Acquisition Senior Notes.</w:t>
      </w:r>
    </w:p>
    <w:p>
      <w:pPr>
        <w:spacing w:after="0" w:line="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$655.0 million of cash used in the first six months of fiscal 2024 was primarily due to purchases of investments of $611.3 million, from the proceeds of the senior unsecured notes issued to fund the Capri Acquisition.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Net cash used in financing activities was $6.78 billion in the first six months of fiscal 2025 as compared to a source of cash of $5.81 billion in the first six months of fiscal 2024, resulting in a net increase of cash used in financing activities of $12.59 billion.</w:t>
      </w:r>
    </w:p>
    <w:p>
      <w:pPr>
        <w:spacing w:after="0" w:line="4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$6.78 billion of cash used in the first six months of fiscal 2025 was primarily due to the repayment of debt of $6.86 billion, which mainly included the Capri Acquisition Senior Notes, use of cash of $2.01 billion under the Company's accelerated share repurchase program partially offset by proceeds from the issuance of debt of $2.25 billion.</w:t>
      </w:r>
    </w:p>
    <w:p>
      <w:pPr>
        <w:spacing w:after="0" w:line="5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$5.81 billion source of cash in the first six months of fiscal 2024 was primarily due to proceeds from the issuance of senior unsecured notes to fund the Capri Acquisition of $6.09 billion, partially offset by dividend payments of $160.4 million, as well as payment of debt issuance costs of $78.2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8" w:name="page49"/>
    <w:bookmarkEnd w:id="48"/>
    <w:p>
      <w:pPr>
        <w:ind w:left="302"/>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p>
      <w:pPr>
        <w:spacing w:after="0" w:line="114" w:lineRule="exact"/>
        <w:rPr>
          <w:sz w:val="20"/>
          <w:szCs w:val="20"/>
          <w:color w:val="auto"/>
        </w:rPr>
      </w:pPr>
    </w:p>
    <w:p>
      <w:pPr>
        <w:ind w:left="2" w:firstLine="294"/>
        <w:spacing w:after="0" w:line="294" w:lineRule="auto"/>
        <w:rPr>
          <w:sz w:val="20"/>
          <w:szCs w:val="20"/>
          <w:color w:val="auto"/>
        </w:rPr>
      </w:pPr>
      <w:r>
        <w:rPr>
          <w:rFonts w:ascii="Times New Roman" w:cs="Times New Roman" w:eastAsia="Times New Roman" w:hAnsi="Times New Roman"/>
          <w:sz w:val="16"/>
          <w:szCs w:val="16"/>
          <w:color w:val="auto"/>
        </w:rPr>
        <w:t>Effect of exchange rate changes on cash and cash equivalents was $12.3 million as compared to $51.0 million in the first six months of fiscal 2024, primarily driven by the impact of changes in the exchange rate of the United States Dollar against the Euro on the Capri Acquisition EUR Senior Notes.</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Financial Condition</w:t>
      </w:r>
    </w:p>
    <w:p>
      <w:pPr>
        <w:spacing w:after="0" w:line="114"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 presents our financial condition as of December 28, 2024 and June 29, 2024:</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June 29, 2024</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color w:val="auto"/>
              </w:rPr>
              <w:t>Change</w:t>
            </w:r>
          </w:p>
        </w:tc>
      </w:tr>
      <w:tr>
        <w:trPr>
          <w:trHeight w:val="171"/>
        </w:trPr>
        <w:tc>
          <w:tcPr>
            <w:tcW w:w="2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(millions)</w:t>
            </w: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4"/>
        </w:trPr>
        <w:tc>
          <w:tcPr>
            <w:tcW w:w="5380" w:type="dxa"/>
            <w:vAlign w:val="bottom"/>
            <w:gridSpan w:val="2"/>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b w:val="1"/>
                <w:bCs w:val="1"/>
                <w:color w:val="auto"/>
              </w:rPr>
              <w:t>Cash and cash equivalents</w:t>
            </w:r>
            <w:r>
              <w:rPr>
                <w:rFonts w:ascii="Times New Roman" w:cs="Times New Roman" w:eastAsia="Times New Roman" w:hAnsi="Times New Roman"/>
                <w:sz w:val="21"/>
                <w:szCs w:val="21"/>
                <w:b w:val="1"/>
                <w:bCs w:val="1"/>
                <w:color w:val="auto"/>
                <w:vertAlign w:val="superscript"/>
              </w:rPr>
              <w:t>(1)</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(5,158.6)</w:t>
            </w:r>
          </w:p>
        </w:tc>
      </w:tr>
      <w:tr>
        <w:trPr>
          <w:trHeight w:val="209"/>
        </w:trPr>
        <w:tc>
          <w:tcPr>
            <w:tcW w:w="53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Short-term investments</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r>
      <w:tr>
        <w:trPr>
          <w:trHeight w:val="209"/>
        </w:trPr>
        <w:tc>
          <w:tcPr>
            <w:tcW w:w="53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Current debt</w:t>
            </w:r>
            <w:r>
              <w:rPr>
                <w:rFonts w:ascii="Times New Roman" w:cs="Times New Roman" w:eastAsia="Times New Roman" w:hAnsi="Times New Roman"/>
                <w:sz w:val="21"/>
                <w:szCs w:val="21"/>
                <w:b w:val="1"/>
                <w:bCs w:val="1"/>
                <w:color w:val="auto"/>
                <w:vertAlign w:val="superscript"/>
              </w:rPr>
              <w:t>(2)</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380" w:type="dxa"/>
            <w:vAlign w:val="bottom"/>
            <w:tcBorders>
              <w:bottom w:val="single" w:sz="8" w:color="CCEEFF"/>
            </w:tcBorders>
            <w:gridSpan w:val="2"/>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Long-term debt</w:t>
            </w:r>
            <w:r>
              <w:rPr>
                <w:rFonts w:ascii="Times New Roman" w:cs="Times New Roman" w:eastAsia="Times New Roman" w:hAnsi="Times New Roman"/>
                <w:sz w:val="21"/>
                <w:szCs w:val="21"/>
                <w:b w:val="1"/>
                <w:bCs w:val="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(6,937.2)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4,559.8</w:t>
            </w:r>
          </w:p>
        </w:tc>
      </w:tr>
      <w:tr>
        <w:trPr>
          <w:trHeight w:val="226"/>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21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r>
    </w:tbl>
    <w:p>
      <w:pPr>
        <w:spacing w:after="0" w:line="128" w:lineRule="exact"/>
        <w:rPr>
          <w:sz w:val="20"/>
          <w:szCs w:val="20"/>
          <w:color w:val="auto"/>
        </w:rPr>
      </w:pPr>
    </w:p>
    <w:p>
      <w:pPr>
        <w:ind w:left="222" w:hanging="222"/>
        <w:spacing w:after="0"/>
        <w:tabs>
          <w:tab w:leader="none" w:pos="222"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28, 2024, approximately 23% of our cash and short-term investments were held outside the United States.</w:t>
      </w:r>
    </w:p>
    <w:p>
      <w:pPr>
        <w:spacing w:after="0" w:line="74" w:lineRule="exact"/>
        <w:rPr>
          <w:rFonts w:ascii="Times New Roman" w:cs="Times New Roman" w:eastAsia="Times New Roman" w:hAnsi="Times New Roman"/>
          <w:sz w:val="21"/>
          <w:szCs w:val="21"/>
          <w:color w:val="auto"/>
          <w:vertAlign w:val="superscript"/>
        </w:rPr>
      </w:pPr>
    </w:p>
    <w:p>
      <w:pPr>
        <w:ind w:left="222" w:hanging="222"/>
        <w:spacing w:after="0" w:line="218" w:lineRule="auto"/>
        <w:tabs>
          <w:tab w:leader="none" w:pos="222"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11, "Debt" for discussion of the carrying values of our debt.</w:t>
      </w:r>
    </w:p>
    <w:p>
      <w:pPr>
        <w:spacing w:after="0" w:line="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Sources of Liquidity</w:t>
      </w:r>
    </w:p>
    <w:p>
      <w:pPr>
        <w:spacing w:after="0" w:line="114" w:lineRule="exact"/>
        <w:rPr>
          <w:sz w:val="20"/>
          <w:szCs w:val="20"/>
          <w:color w:val="auto"/>
        </w:rPr>
      </w:pPr>
    </w:p>
    <w:p>
      <w:pPr>
        <w:ind w:left="2" w:firstLine="294"/>
        <w:spacing w:after="0" w:line="294" w:lineRule="auto"/>
        <w:rPr>
          <w:sz w:val="20"/>
          <w:szCs w:val="20"/>
          <w:color w:val="auto"/>
        </w:rPr>
      </w:pPr>
      <w:r>
        <w:rPr>
          <w:rFonts w:ascii="Times New Roman" w:cs="Times New Roman" w:eastAsia="Times New Roman" w:hAnsi="Times New Roman"/>
          <w:sz w:val="16"/>
          <w:szCs w:val="16"/>
          <w:color w:val="auto"/>
        </w:rPr>
        <w:t>Our primary sources of liquidity are the cash flows generated from our operations, our cash and cash equivalents and short-term investments, availability under our credit facilities and other available financing options.</w:t>
      </w:r>
    </w:p>
    <w:p>
      <w:pPr>
        <w:spacing w:after="0" w:line="4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 presents the total availability, borrowings outstanding and remaining availability under our credit facilities as of December 28, 2024:</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 Availability</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Borrowings Outstanding</w:t>
            </w: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Remaining Availability</w:t>
            </w:r>
          </w:p>
        </w:tc>
      </w:tr>
      <w:tr>
        <w:trPr>
          <w:trHeight w:val="171"/>
        </w:trPr>
        <w:tc>
          <w:tcPr>
            <w:tcW w:w="2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14"/>
        </w:trPr>
        <w:tc>
          <w:tcPr>
            <w:tcW w:w="4480" w:type="dxa"/>
            <w:vAlign w:val="bottom"/>
            <w:gridSpan w:val="2"/>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b w:val="1"/>
                <w:bCs w:val="1"/>
                <w:color w:val="auto"/>
              </w:rPr>
              <w:t>Revolving Facility</w:t>
            </w:r>
            <w:r>
              <w:rPr>
                <w:rFonts w:ascii="Times New Roman" w:cs="Times New Roman" w:eastAsia="Times New Roman" w:hAnsi="Times New Roman"/>
                <w:sz w:val="21"/>
                <w:szCs w:val="21"/>
                <w:b w:val="1"/>
                <w:bCs w:val="1"/>
                <w:color w:val="auto"/>
                <w:vertAlign w:val="superscript"/>
              </w:rPr>
              <w:t>(1)</w:t>
            </w: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1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r>
      <w:tr>
        <w:trPr>
          <w:trHeight w:val="209"/>
        </w:trPr>
        <w:tc>
          <w:tcPr>
            <w:tcW w:w="44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China Credit Facility</w:t>
            </w:r>
            <w:r>
              <w:rPr>
                <w:rFonts w:ascii="Times New Roman" w:cs="Times New Roman" w:eastAsia="Times New Roman" w:hAnsi="Times New Roman"/>
                <w:sz w:val="21"/>
                <w:szCs w:val="21"/>
                <w:b w:val="1"/>
                <w:bCs w:val="1"/>
                <w:color w:val="auto"/>
                <w:vertAlign w:val="superscript"/>
              </w:rPr>
              <w:t>(1)(2)</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r>
      <w:tr>
        <w:trPr>
          <w:trHeight w:val="226"/>
        </w:trPr>
        <w:tc>
          <w:tcPr>
            <w:tcW w:w="44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20" w:type="dxa"/>
            <w:vAlign w:val="bottom"/>
            <w:tcBorders>
              <w:top w:val="single" w:sz="8" w:color="auto"/>
              <w:bottom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r>
    </w:tbl>
    <w:p>
      <w:pPr>
        <w:spacing w:after="0" w:line="140" w:lineRule="exact"/>
        <w:rPr>
          <w:sz w:val="20"/>
          <w:szCs w:val="20"/>
          <w:color w:val="auto"/>
        </w:rPr>
      </w:pPr>
    </w:p>
    <w:p>
      <w:pPr>
        <w:ind w:left="222" w:hanging="222"/>
        <w:spacing w:after="0"/>
        <w:tabs>
          <w:tab w:leader="none" w:pos="222"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11, "Debt" for further information on these instruments.</w:t>
      </w:r>
    </w:p>
    <w:p>
      <w:pPr>
        <w:spacing w:after="0" w:line="62" w:lineRule="exact"/>
        <w:rPr>
          <w:rFonts w:ascii="Times New Roman" w:cs="Times New Roman" w:eastAsia="Times New Roman" w:hAnsi="Times New Roman"/>
          <w:sz w:val="21"/>
          <w:szCs w:val="21"/>
          <w:color w:val="auto"/>
          <w:vertAlign w:val="superscript"/>
        </w:rPr>
      </w:pPr>
    </w:p>
    <w:p>
      <w:pPr>
        <w:ind w:left="262" w:hanging="262"/>
        <w:spacing w:after="0" w:line="230" w:lineRule="auto"/>
        <w:tabs>
          <w:tab w:leader="none" w:pos="262"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carrying amounts of the China Credit Facility include the impact of changes in the exchange rate of the United States Dollar against the RMB.</w:t>
      </w:r>
    </w:p>
    <w:p>
      <w:pPr>
        <w:spacing w:after="0" w:line="81" w:lineRule="exact"/>
        <w:rPr>
          <w:sz w:val="20"/>
          <w:szCs w:val="20"/>
          <w:color w:val="auto"/>
        </w:rPr>
      </w:pPr>
    </w:p>
    <w:p>
      <w:pPr>
        <w:jc w:val="both"/>
        <w:ind w:left="2" w:firstLine="294"/>
        <w:spacing w:after="0" w:line="269" w:lineRule="auto"/>
        <w:rPr>
          <w:sz w:val="20"/>
          <w:szCs w:val="20"/>
          <w:color w:val="auto"/>
        </w:rPr>
      </w:pPr>
      <w:r>
        <w:rPr>
          <w:rFonts w:ascii="Times New Roman" w:cs="Times New Roman" w:eastAsia="Times New Roman" w:hAnsi="Times New Roman"/>
          <w:sz w:val="16"/>
          <w:szCs w:val="16"/>
          <w:color w:val="auto"/>
        </w:rPr>
        <w:t>We believe that our Revolving Credit Facility is adequately diversified with no undue concentrations in any one financial institution. As of December 28, 2024, there were 18 financial institutions participating in the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59"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55" w:lineRule="exact"/>
        <w:rPr>
          <w:sz w:val="20"/>
          <w:szCs w:val="20"/>
          <w:color w:val="auto"/>
        </w:rPr>
      </w:pPr>
    </w:p>
    <w:p>
      <w:pPr>
        <w:jc w:val="both"/>
        <w:ind w:left="2" w:firstLine="294"/>
        <w:spacing w:after="0" w:line="264" w:lineRule="auto"/>
        <w:rPr>
          <w:sz w:val="20"/>
          <w:szCs w:val="20"/>
          <w:color w:val="auto"/>
        </w:rPr>
      </w:pPr>
      <w:r>
        <w:rPr>
          <w:rFonts w:ascii="Times New Roman" w:cs="Times New Roman" w:eastAsia="Times New Roman" w:hAnsi="Times New Roman"/>
          <w:sz w:val="16"/>
          <w:szCs w:val="16"/>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2025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917" w:right="339" w:bottom="1440" w:gutter="0" w:footer="0" w:header="0"/>
        </w:sectPr>
      </w:pPr>
    </w:p>
    <w:bookmarkStart w:id="49" w:name="page50"/>
    <w:bookmarkEnd w:id="49"/>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Reference should be made to our most recent Annual Report on Form 10-K and other filings with the SEC for additional information regarding liquidity and capital resources.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Supply Chain Finance</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78" w:lineRule="exact"/>
        <w:rPr>
          <w:sz w:val="20"/>
          <w:szCs w:val="20"/>
          <w:color w:val="auto"/>
        </w:rPr>
      </w:pPr>
    </w:p>
    <w:p>
      <w:pPr>
        <w:jc w:val="both"/>
        <w:ind w:firstLine="221"/>
        <w:spacing w:after="0" w:line="275" w:lineRule="auto"/>
        <w:rPr>
          <w:sz w:val="20"/>
          <w:szCs w:val="20"/>
          <w:color w:val="auto"/>
        </w:rPr>
      </w:pPr>
      <w:r>
        <w:rPr>
          <w:rFonts w:ascii="Times New Roman" w:cs="Times New Roman" w:eastAsia="Times New Roman" w:hAnsi="Times New Roman"/>
          <w:sz w:val="16"/>
          <w:szCs w:val="16"/>
          <w:color w:val="auto"/>
        </w:rPr>
        <w:t>During the three and six months ended December 28, 2024, capital expenditures and cloud computing implementation costs were $39.2 million and $68.8 million, respectively. The Company expects total fiscal 2025 capital expenditures and cloud computing cost to be approximately $170 million. Certain cloud computing implementation costs are recognized within Prepaid expenses and Other assets on the Condensed Consolidated Balance Sheets.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14" w:lineRule="exact"/>
        <w:rPr>
          <w:sz w:val="20"/>
          <w:szCs w:val="20"/>
          <w:color w:val="auto"/>
        </w:rPr>
      </w:pPr>
    </w:p>
    <w:p>
      <w:pPr>
        <w:jc w:val="both"/>
        <w:ind w:firstLine="294"/>
        <w:spacing w:after="0" w:line="257" w:lineRule="auto"/>
        <w:rPr>
          <w:sz w:val="20"/>
          <w:szCs w:val="20"/>
          <w:color w:val="auto"/>
        </w:rPr>
      </w:pPr>
      <w:r>
        <w:rPr>
          <w:rFonts w:ascii="Times New Roman" w:cs="Times New Roman" w:eastAsia="Times New Roman" w:hAnsi="Times New Roman"/>
          <w:sz w:val="16"/>
          <w:szCs w:val="16"/>
          <w:color w:val="auto"/>
        </w:rPr>
        <w:t>On November 13, 2024, the Board of Directors of the Company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The $2.00 billion authorized for purchases under the 2025 Share Repurchase Program is supplemental to the $800.0 million remaining in authorized purchases under the share repurchase program authorized by the Board in May 2022 (the "2022 Share Repurchase Program").</w:t>
      </w:r>
    </w:p>
    <w:p>
      <w:pPr>
        <w:spacing w:after="0" w:line="2" w:lineRule="exact"/>
        <w:rPr>
          <w:sz w:val="20"/>
          <w:szCs w:val="20"/>
          <w:color w:val="auto"/>
        </w:rPr>
      </w:pPr>
    </w:p>
    <w:p>
      <w:pPr>
        <w:jc w:val="both"/>
        <w:ind w:firstLine="294"/>
        <w:spacing w:after="0" w:line="242" w:lineRule="auto"/>
        <w:rPr>
          <w:sz w:val="20"/>
          <w:szCs w:val="20"/>
          <w:color w:val="auto"/>
        </w:rPr>
      </w:pPr>
      <w:r>
        <w:rPr>
          <w:rFonts w:ascii="Times New Roman" w:cs="Times New Roman" w:eastAsia="Times New Roman" w:hAnsi="Times New Roman"/>
          <w:sz w:val="16"/>
          <w:szCs w:val="16"/>
          <w:color w:val="auto"/>
        </w:rPr>
        <w:t>Under the ASR Agreements, the Company paid $2.00 billion to the Dealers and received an initial delivery of 28,363,766 shares of the Company's common stock on November 26, 2024 at a price of $56.41 per share, representing approximately 80 percent of the aggregate purchase price. The total number of shares purchased by the Company pursuant to the ASR Agreements will be based on the volume-weighted average price of the Company's common stock on specified dates during the term of each of the ASR Agreements, less a discount, and subject to adjustments pursuant to the terms and conditions of the ASR Agreements. The final settlement of the transactions under the ASR Agreements is expected to occur no later than the first quarter of fiscal 2026. The ASR agreements are accounted for as a share purchase transaction and forward stock purchase agreement indexed to our common stock. The shares received under the ASR agreements reduced the number of ordinary shares outstanding as of December 28, 2024 by 28,363,766 shares initially purchased. Repurchased shares of common stock will become authorized but unissued shares. As of December 28, 2024 the Company had $800.0 million of additional shares available to be repurchased as authorized under the 2022 Share Repurchase Program and no remaining availability to repurchase shares under the 2025 Share Repurchase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Company's significant accounting policies are described in Note 3 to the audited consolidated financial statements in our Annual Report on Form 10-K for fiscal 2024.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59"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2024. As of December 28, 2024, there have been no material changes to any of the critical accounting policies.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50" w:name="page51"/>
    <w:bookmarkEnd w:id="50"/>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The fair values of the Kate Spade brand reporting unit and indefinite-lived brand as of the fiscal 2024 testing date exceeded their carrying values by approximately 20% and 55%, respectively.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macroeconomic factors, the reception of new collections in all channels, and other initiatives aimed at increasing profitability of the business. Given the relatively small excess of fair value over carrying value as noted above, if profitability trends decline during fiscal 2025 from those that are expected, it is possible that an interim test, or our annual impairment test, could result in an impairment of those assets.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51" w:name="page52"/>
    <w:bookmarkEnd w:id="51"/>
    <w:p>
      <w:pPr>
        <w:ind w:left="14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There have been no significant changes to the Company's market risk or the way the Company manages these exposures as set forth in Part II, Item 7A. "Quantitative and Qualitative Disclosures About Market Risk" in the Company’s Annual Report on Form 10-K for the fiscal year ended June 29, 2024. Refer to Note 8, "Derivative Investments and Hedging Activities," Note 11, "Debt," and Note 13, "Investments" included in Part I of this Form 10-Q for additional information.</w:t>
      </w:r>
    </w:p>
    <w:p>
      <w:pPr>
        <w:spacing w:after="0" w:line="1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14"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have evaluated under the supervision and with the participation of management, including our principal executive and principal financial officers, the effectiveness of our disclosure controls and procedures, as is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during the second quarter of 2025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14"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The Company is involved in various routine legal proceedings as both plaintiff and defendant incident to the ordinary course of its business, such as to protect Tapestry, Inc.'s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55"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 There have been no material developments with respect to any previously reported proceedings.</w:t>
      </w:r>
    </w:p>
    <w:p>
      <w:pPr>
        <w:spacing w:after="0" w:line="55"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However, as previously disclosed, on August 10, 2023, the Company entered into a Merger Agreement by and among the Company, Merger Sub and Capri,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Company, Merger Sub and Capri (collectively, the “Parties”) entered into a Termination Agreement, pursuant to which the Parties agreed to terminate the Merger Agreement, including all schedules and exhibits thereto and all ancillary agreements contemplated thereby or entered pursuant thereto, effective immediately.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w:t>
      </w:r>
    </w:p>
    <w:p>
      <w:pPr>
        <w:spacing w:after="0" w:line="268" w:lineRule="exact"/>
        <w:rPr>
          <w:sz w:val="20"/>
          <w:szCs w:val="20"/>
          <w:color w:val="auto"/>
        </w:rPr>
      </w:pPr>
    </w:p>
    <w:p>
      <w:pPr>
        <w:jc w:val="both"/>
        <w:ind w:right="20" w:firstLine="294"/>
        <w:spacing w:after="0" w:line="263" w:lineRule="auto"/>
        <w:rPr>
          <w:sz w:val="20"/>
          <w:szCs w:val="20"/>
          <w:color w:val="auto"/>
        </w:rPr>
      </w:pPr>
      <w:r>
        <w:rPr>
          <w:rFonts w:ascii="Times New Roman" w:cs="Times New Roman" w:eastAsia="Times New Roman" w:hAnsi="Times New Roman"/>
          <w:sz w:val="16"/>
          <w:szCs w:val="16"/>
          <w:color w:val="auto"/>
        </w:rPr>
        <w:t>On December 23, 2024 and January 28, 2025, two separate putative securities class actions were filed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The Company intends to vigorously defend itself in these matters.</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14"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Refer to Part I, Item 1A, "Risk Factors" in our Annual Report on Form 10-K for the fiscal year ended June 29, 2024 for a description of certain significant risks and uncertainties to which our business, financial condition and results of operations are subject.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7042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3" w:name="page54"/>
    <w:bookmarkEnd w:id="53"/>
    <w:p>
      <w:pPr>
        <w:ind w:left="142"/>
        <w:spacing w:after="0"/>
        <w:tabs>
          <w:tab w:leader="none" w:pos="921"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USE OF PROCEEDS AND ISSUER PURCHASES OF EQUITY SECURITIES</w:t>
      </w:r>
    </w:p>
    <w:p>
      <w:pPr>
        <w:spacing w:after="0" w:line="114"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following table provides information regarding the Company's purchases of shares of common stock during the second quarter of fiscal 2025 related to the</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Company's share repurchase programs:</w:t>
      </w:r>
    </w:p>
    <w:p>
      <w:pPr>
        <w:sectPr>
          <w:pgSz w:w="11900" w:h="16838" w:orient="portrait"/>
          <w:cols w:equalWidth="0" w:num="1">
            <w:col w:w="11242"/>
          </w:cols>
          <w:pgMar w:left="318" w:top="9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642"/>
        <w:spacing w:after="0"/>
        <w:rPr>
          <w:sz w:val="20"/>
          <w:szCs w:val="20"/>
          <w:color w:val="auto"/>
        </w:rPr>
      </w:pPr>
      <w:r>
        <w:rPr>
          <w:rFonts w:ascii="Times New Roman" w:cs="Times New Roman" w:eastAsia="Times New Roman" w:hAnsi="Times New Roman"/>
          <w:sz w:val="16"/>
          <w:szCs w:val="16"/>
          <w:b w:val="1"/>
          <w:bCs w:val="1"/>
          <w:color w:val="auto"/>
        </w:rPr>
        <w:t>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31394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13940" cy="7620"/>
                    </a:xfrm>
                    <a:prstGeom prst="rect">
                      <a:avLst/>
                    </a:prstGeom>
                    <a:noFill/>
                  </pic:spPr>
                </pic:pic>
              </a:graphicData>
            </a:graphic>
          </wp:anchor>
        </w:drawing>
      </w:r>
    </w:p>
    <w:p>
      <w:pPr>
        <w:spacing w:after="0" w:line="20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September 29, 2024 - November 2, 2024</w:t>
      </w:r>
    </w:p>
    <w:p>
      <w:pPr>
        <w:spacing w:after="0" w:line="30"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November 3, 2024 - November 30, 2024</w:t>
      </w:r>
    </w:p>
    <w:p>
      <w:pPr>
        <w:spacing w:after="0" w:line="2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December 1, 2024 - December 28, 2024</w:t>
      </w:r>
    </w:p>
    <w:p>
      <w:pPr>
        <w:spacing w:after="0" w:line="56"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3868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8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4"/>
        </w:trPr>
        <w:tc>
          <w:tcPr>
            <w:tcW w:w="1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Average Price per</w:t>
            </w:r>
          </w:p>
        </w:tc>
        <w:tc>
          <w:tcPr>
            <w:tcW w:w="194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80" w:type="dxa"/>
            <w:vAlign w:val="bottom"/>
          </w:tcPr>
          <w:p>
            <w:pPr>
              <w:spacing w:after="0"/>
              <w:rPr>
                <w:sz w:val="14"/>
                <w:szCs w:val="14"/>
                <w:color w:val="auto"/>
              </w:rPr>
            </w:pPr>
          </w:p>
        </w:tc>
        <w:tc>
          <w:tcPr>
            <w:tcW w:w="2000" w:type="dxa"/>
            <w:vAlign w:val="bottom"/>
          </w:tcPr>
          <w:p>
            <w:pPr>
              <w:jc w:val="center"/>
              <w:ind w:right="98"/>
              <w:spacing w:after="0" w:line="164"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8"/>
        </w:trPr>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280" w:type="dxa"/>
            <w:vAlign w:val="bottom"/>
            <w:gridSpan w:val="2"/>
          </w:tcPr>
          <w:p>
            <w:pPr>
              <w:jc w:val="center"/>
              <w:ind w:left="18"/>
              <w:spacing w:after="0" w:line="168"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460" w:type="dxa"/>
            <w:vAlign w:val="bottom"/>
            <w:tcBorders>
              <w:bottom w:val="single" w:sz="8" w:color="auto"/>
            </w:tcBorders>
          </w:tcPr>
          <w:p>
            <w:pPr>
              <w:jc w:val="right"/>
              <w:ind w:right="481"/>
              <w:spacing w:after="0" w:line="209" w:lineRule="exact"/>
              <w:rPr>
                <w:sz w:val="20"/>
                <w:szCs w:val="20"/>
                <w:color w:val="auto"/>
              </w:rPr>
            </w:pP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21"/>
                <w:szCs w:val="21"/>
                <w:b w:val="1"/>
                <w:bCs w:val="1"/>
                <w:color w:val="auto"/>
                <w:vertAlign w:val="superscript"/>
              </w:rPr>
              <w:t>(1)</w:t>
            </w:r>
          </w:p>
        </w:tc>
        <w:tc>
          <w:tcPr>
            <w:tcW w:w="19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6"/>
                <w:szCs w:val="16"/>
                <w:b w:val="1"/>
                <w:bCs w:val="1"/>
                <w:color w:val="auto"/>
                <w:w w:val="95"/>
              </w:rPr>
              <w:t>or Programs</w:t>
            </w:r>
            <w:r>
              <w:rPr>
                <w:rFonts w:ascii="Times New Roman" w:cs="Times New Roman" w:eastAsia="Times New Roman" w:hAnsi="Times New Roman"/>
                <w:sz w:val="21"/>
                <w:szCs w:val="21"/>
                <w:b w:val="1"/>
                <w:bCs w:val="1"/>
                <w:color w:val="auto"/>
                <w:w w:val="95"/>
                <w:vertAlign w:val="superscript"/>
              </w:rPr>
              <w:t>(2)(3)</w:t>
            </w: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98"/>
              <w:spacing w:after="0" w:line="209" w:lineRule="exact"/>
              <w:rPr>
                <w:sz w:val="20"/>
                <w:szCs w:val="20"/>
                <w:color w:val="auto"/>
              </w:rPr>
            </w:pPr>
            <w:r>
              <w:rPr>
                <w:rFonts w:ascii="Times New Roman" w:cs="Times New Roman" w:eastAsia="Times New Roman" w:hAnsi="Times New Roman"/>
                <w:sz w:val="16"/>
                <w:szCs w:val="16"/>
                <w:b w:val="1"/>
                <w:bCs w:val="1"/>
                <w:color w:val="auto"/>
                <w:w w:val="93"/>
              </w:rPr>
              <w:t>Programs</w:t>
            </w:r>
            <w:r>
              <w:rPr>
                <w:rFonts w:ascii="Times New Roman" w:cs="Times New Roman" w:eastAsia="Times New Roman" w:hAnsi="Times New Roman"/>
                <w:sz w:val="21"/>
                <w:szCs w:val="21"/>
                <w:b w:val="1"/>
                <w:bCs w:val="1"/>
                <w:color w:val="auto"/>
                <w:w w:val="93"/>
                <w:vertAlign w:val="superscript"/>
              </w:rPr>
              <w:t>(2)(3)</w:t>
            </w:r>
          </w:p>
        </w:tc>
        <w:tc>
          <w:tcPr>
            <w:tcW w:w="0" w:type="dxa"/>
            <w:vAlign w:val="bottom"/>
          </w:tcPr>
          <w:p>
            <w:pPr>
              <w:spacing w:after="0"/>
              <w:rPr>
                <w:sz w:val="1"/>
                <w:szCs w:val="1"/>
                <w:color w:val="auto"/>
              </w:rPr>
            </w:pPr>
          </w:p>
        </w:tc>
      </w:tr>
      <w:tr>
        <w:trPr>
          <w:trHeight w:val="163"/>
        </w:trPr>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(millions, except share data and per share data)</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4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09"/>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28,363,766</w:t>
            </w:r>
          </w:p>
        </w:tc>
        <w:tc>
          <w:tcPr>
            <w:tcW w:w="20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56.41</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28,363,766</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3"/>
        </w:trPr>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01"/>
        </w:trPr>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28,363,766</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28,363,766</w:t>
            </w: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-568325</wp:posOffset>
            </wp:positionV>
            <wp:extent cx="7145020" cy="132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020" cy="13271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-303530</wp:posOffset>
            </wp:positionV>
            <wp:extent cx="7145020" cy="132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020"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2" w:space="720"/>
            <w:col w:w="7520"/>
          </w:cols>
          <w:pgMar w:left="318" w:top="966" w:right="339" w:bottom="1440" w:gutter="0" w:footer="0" w:header="0"/>
          <w:type w:val="continuous"/>
        </w:sectPr>
      </w:pPr>
    </w:p>
    <w:p>
      <w:pPr>
        <w:spacing w:after="0" w:line="225" w:lineRule="exact"/>
        <w:rPr>
          <w:sz w:val="20"/>
          <w:szCs w:val="20"/>
          <w:color w:val="auto"/>
        </w:rPr>
      </w:pPr>
    </w:p>
    <w:p>
      <w:pPr>
        <w:ind w:left="302" w:hanging="302"/>
        <w:spacing w:after="0" w:line="231" w:lineRule="auto"/>
        <w:tabs>
          <w:tab w:leader="none" w:pos="237"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accordance with applicable disclosure requirements, the “Average Price per Share” figures presented above are calculated on an execution date (trade date) basis and exclude commissions and other expenses, such as excise taxes.</w:t>
      </w:r>
    </w:p>
    <w:p>
      <w:pPr>
        <w:spacing w:after="0" w:line="81" w:lineRule="exact"/>
        <w:rPr>
          <w:rFonts w:ascii="Times New Roman" w:cs="Times New Roman" w:eastAsia="Times New Roman" w:hAnsi="Times New Roman"/>
          <w:sz w:val="21"/>
          <w:szCs w:val="21"/>
          <w:color w:val="auto"/>
          <w:vertAlign w:val="superscript"/>
        </w:rPr>
      </w:pPr>
    </w:p>
    <w:p>
      <w:pPr>
        <w:jc w:val="both"/>
        <w:ind w:left="302" w:hanging="302"/>
        <w:spacing w:after="0" w:line="243" w:lineRule="auto"/>
        <w:tabs>
          <w:tab w:leader="none" w:pos="305"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12, 2022, the Company announced that its Board of Directors (the "Board") authorized a common stock repurchase program to repurchase up to $1.50 billion of its outstanding common stock (the "2022 Share Repurchase Program"). Purchases of the Company's common stock under this program were executed through open market purchases, including through purchase agreements under Rule 10b5-1. As of December 28, 2024 the Company had $800.0 million of additional shares available to be repurchased as authorized under the 2022 Share Repurchase Program.</w:t>
      </w:r>
    </w:p>
    <w:p>
      <w:pPr>
        <w:spacing w:after="0" w:line="80" w:lineRule="exact"/>
        <w:rPr>
          <w:rFonts w:ascii="Times New Roman" w:cs="Times New Roman" w:eastAsia="Times New Roman" w:hAnsi="Times New Roman"/>
          <w:sz w:val="21"/>
          <w:szCs w:val="21"/>
          <w:color w:val="auto"/>
          <w:vertAlign w:val="superscript"/>
        </w:rPr>
      </w:pPr>
    </w:p>
    <w:p>
      <w:pPr>
        <w:jc w:val="both"/>
        <w:ind w:left="302" w:hanging="302"/>
        <w:spacing w:after="0" w:line="251" w:lineRule="auto"/>
        <w:tabs>
          <w:tab w:leader="none" w:pos="262"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November 13, 2024,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at an initial price of $56.41 per share, representing approximately 80 percent of the aggregate purchase price. The total number of shares purchased by the Company pursuant to the ASR Agreements will be based on the volume-weighted average price of the Company's common stock on specified dates during the term of each of the ASR Agreements, less a discount, and subject to adjustments pursuant to the terms and conditions of the ASR Agreements. The final settlement of the transactions under the ASR Agreements is expected to occur no later than the first quarter of fiscal 2026. As of December 28, 2024, the Company had no remaining availability to repurchase shares under the 2025 Share Repurchase Program.</w:t>
      </w:r>
    </w:p>
    <w:p>
      <w:pPr>
        <w:spacing w:after="0" w:line="122"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14" w:lineRule="exact"/>
        <w:rPr>
          <w:sz w:val="20"/>
          <w:szCs w:val="20"/>
          <w:color w:val="auto"/>
        </w:rPr>
      </w:pPr>
    </w:p>
    <w:p>
      <w:pPr>
        <w:ind w:left="2" w:firstLine="294"/>
        <w:spacing w:after="0" w:line="294" w:lineRule="auto"/>
        <w:rPr>
          <w:sz w:val="20"/>
          <w:szCs w:val="20"/>
          <w:color w:val="auto"/>
        </w:rPr>
      </w:pPr>
      <w:r>
        <w:rPr>
          <w:rFonts w:ascii="Times New Roman" w:cs="Times New Roman" w:eastAsia="Times New Roman" w:hAnsi="Times New Roman"/>
          <w:sz w:val="16"/>
          <w:szCs w:val="16"/>
          <w:color w:val="auto"/>
        </w:rPr>
        <w:t>There was no adoption, modification or termination of any Rule 10b5-1 plan or other trading arrangements by our directors and officers during the quarter ended December 28, 2024.</w:t>
      </w:r>
    </w:p>
    <w:p>
      <w:pPr>
        <w:spacing w:after="0" w:line="200" w:lineRule="exact"/>
        <w:rPr>
          <w:sz w:val="20"/>
          <w:szCs w:val="20"/>
          <w:color w:val="auto"/>
        </w:rPr>
      </w:pPr>
    </w:p>
    <w:p>
      <w:pPr>
        <w:spacing w:after="0" w:line="2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42"/>
          </w:cols>
          <w:pgMar w:left="318" w:top="966" w:right="339" w:bottom="1440" w:gutter="0" w:footer="0" w:header="0"/>
          <w:type w:val="continuous"/>
        </w:sectPr>
      </w:pPr>
    </w:p>
    <w:bookmarkStart w:id="54" w:name="page55"/>
    <w:bookmarkEnd w:id="54"/>
    <w:p>
      <w:pPr>
        <w:ind w:left="142"/>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43" w:lineRule="exact"/>
        <w:rPr>
          <w:sz w:val="20"/>
          <w:szCs w:val="20"/>
          <w:color w:val="auto"/>
        </w:rPr>
      </w:pPr>
    </w:p>
    <w:tbl>
      <w:tblPr>
        <w:tblLayout w:type="fixed"/>
        <w:tblInd w:w="222" w:type="dxa"/>
        <w:tblCellMar>
          <w:top w:w="0" w:type="dxa"/>
          <w:left w:w="0" w:type="dxa"/>
          <w:bottom w:w="0" w:type="dxa"/>
          <w:right w:w="0" w:type="dxa"/>
        </w:tblCellMar>
      </w:tblPr>
      <w:tr>
        <w:trPr>
          <w:trHeight w:val="184"/>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4.1</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Base Indenture, dated as of December 11, 2024, between the Company and U.S. Bank Trust Company, National Association, as trustee, incorporated</w:t>
              </w:r>
            </w:hyperlink>
          </w:p>
        </w:tc>
      </w:tr>
      <w:tr>
        <w:trPr>
          <w:trHeight w:val="140"/>
        </w:trPr>
        <w:tc>
          <w:tcPr>
            <w:tcW w:w="86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8"/>
          </w:tcPr>
          <w:p>
            <w:pPr>
              <w:spacing w:after="0" w:line="13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herein by reference to Exhibit 4.1 to the Company’s Current Report on Form 8-K filed with the SEC on December 11, 2024.</w:t>
              </w:r>
            </w:hyperlink>
          </w:p>
        </w:tc>
        <w:tc>
          <w:tcPr>
            <w:tcW w:w="16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4.2</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First Supplemental Indenture, dated as of December 11, 2024, relating to the 5.100% senior unsecured notes due 2030 and the 5.500% senior unsecured</w:t>
              </w:r>
            </w:hyperlink>
          </w:p>
        </w:tc>
      </w:tr>
      <w:tr>
        <w:trPr>
          <w:trHeight w:val="140"/>
        </w:trPr>
        <w:tc>
          <w:tcPr>
            <w:tcW w:w="860" w:type="dxa"/>
            <w:vAlign w:val="bottom"/>
          </w:tcPr>
          <w:p>
            <w:pPr>
              <w:spacing w:after="0"/>
              <w:rPr>
                <w:sz w:val="12"/>
                <w:szCs w:val="12"/>
                <w:color w:val="auto"/>
              </w:rPr>
            </w:pPr>
          </w:p>
        </w:tc>
        <w:tc>
          <w:tcPr>
            <w:tcW w:w="9960" w:type="dxa"/>
            <w:vAlign w:val="bottom"/>
            <w:tcBorders>
              <w:top w:val="single" w:sz="8" w:color="0000FF"/>
            </w:tcBorders>
            <w:gridSpan w:val="17"/>
          </w:tcPr>
          <w:p>
            <w:pPr>
              <w:spacing w:after="0" w:line="139"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notes due 2035, between the Company and U.S. Bank Trust Company, National Association, as trustee, incorporated herein by reference to Exhibit 4.2</w:t>
              </w:r>
            </w:hyperlink>
          </w:p>
        </w:tc>
        <w:tc>
          <w:tcPr>
            <w:tcW w:w="180" w:type="dxa"/>
            <w:vAlign w:val="bottom"/>
            <w:gridSpan w:val="3"/>
          </w:tcPr>
          <w:p>
            <w:pPr>
              <w:spacing w:after="0" w:line="139"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to</w:t>
              </w:r>
            </w:hyperlink>
          </w:p>
        </w:tc>
      </w:tr>
      <w:tr>
        <w:trPr>
          <w:trHeight w:val="152"/>
        </w:trPr>
        <w:tc>
          <w:tcPr>
            <w:tcW w:w="860" w:type="dxa"/>
            <w:vAlign w:val="bottom"/>
          </w:tcPr>
          <w:p>
            <w:pPr>
              <w:spacing w:after="0"/>
              <w:rPr>
                <w:sz w:val="13"/>
                <w:szCs w:val="13"/>
                <w:color w:val="auto"/>
              </w:rPr>
            </w:pPr>
          </w:p>
        </w:tc>
        <w:tc>
          <w:tcPr>
            <w:tcW w:w="1004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the Company’s Current Report on Form 8-K filed with the SEC on December 11, 2024.</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4.3</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 xml:space="preserve">Form of 5.100% senior unsecured notes due 2030 (included in the First Supplemental Indenture), incorporated herein by reference to Exhibit </w:t>
              </w:r>
            </w:hyperlink>
            <w:r>
              <w:rPr>
                <w:rFonts w:ascii="Times New Roman" w:cs="Times New Roman" w:eastAsia="Times New Roman" w:hAnsi="Times New Roman"/>
                <w:sz w:val="16"/>
                <w:szCs w:val="16"/>
                <w:color w:val="0000FF"/>
              </w:rPr>
              <w:t xml:space="preserve">4.2 </w:t>
            </w:r>
            <w:hyperlink r:id="rId87">
              <w:r>
                <w:rPr>
                  <w:rFonts w:ascii="Times New Roman" w:cs="Times New Roman" w:eastAsia="Times New Roman" w:hAnsi="Times New Roman"/>
                  <w:sz w:val="16"/>
                  <w:szCs w:val="16"/>
                  <w:color w:val="0000FF"/>
                </w:rPr>
                <w:t>to the</w:t>
              </w:r>
            </w:hyperlink>
          </w:p>
        </w:tc>
      </w:tr>
      <w:tr>
        <w:trPr>
          <w:trHeight w:val="140"/>
        </w:trPr>
        <w:tc>
          <w:tcPr>
            <w:tcW w:w="86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Company’s Current Report on Form 8-K filed with the SEC on December 11, 2024.</w:t>
              </w:r>
            </w:hyperlink>
          </w:p>
        </w:tc>
        <w:tc>
          <w:tcPr>
            <w:tcW w:w="4380" w:type="dxa"/>
            <w:vAlign w:val="bottom"/>
            <w:tcBorders>
              <w:top w:val="single" w:sz="8" w:color="0000FF"/>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4.4</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 xml:space="preserve">Form of 5.500% senior unsecured notes due 2035 (included in the First Supplemental Indenture), incorporated herein by reference to Exhibit </w:t>
              </w:r>
            </w:hyperlink>
            <w:r>
              <w:rPr>
                <w:rFonts w:ascii="Times New Roman" w:cs="Times New Roman" w:eastAsia="Times New Roman" w:hAnsi="Times New Roman"/>
                <w:sz w:val="16"/>
                <w:szCs w:val="16"/>
                <w:color w:val="0000FF"/>
              </w:rPr>
              <w:t xml:space="preserve">4.2 </w:t>
            </w:r>
            <w:hyperlink r:id="rId88">
              <w:r>
                <w:rPr>
                  <w:rFonts w:ascii="Times New Roman" w:cs="Times New Roman" w:eastAsia="Times New Roman" w:hAnsi="Times New Roman"/>
                  <w:sz w:val="16"/>
                  <w:szCs w:val="16"/>
                  <w:color w:val="0000FF"/>
                </w:rPr>
                <w:t>to the</w:t>
              </w:r>
            </w:hyperlink>
          </w:p>
        </w:tc>
      </w:tr>
      <w:tr>
        <w:trPr>
          <w:trHeight w:val="140"/>
        </w:trPr>
        <w:tc>
          <w:tcPr>
            <w:tcW w:w="860" w:type="dxa"/>
            <w:vAlign w:val="bottom"/>
          </w:tcPr>
          <w:p>
            <w:pPr>
              <w:spacing w:after="0"/>
              <w:rPr>
                <w:sz w:val="12"/>
                <w:szCs w:val="12"/>
                <w:color w:val="auto"/>
              </w:rPr>
            </w:pPr>
          </w:p>
        </w:tc>
        <w:tc>
          <w:tcPr>
            <w:tcW w:w="9880" w:type="dxa"/>
            <w:vAlign w:val="bottom"/>
            <w:tcBorders>
              <w:top w:val="single" w:sz="8" w:color="0000FF"/>
            </w:tcBorders>
            <w:gridSpan w:val="15"/>
          </w:tcPr>
          <w:p>
            <w:pPr>
              <w:spacing w:after="0" w:line="139"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Company’s Current Report on Form 8-K filed with the SEC on December 11, 2024.</w:t>
              </w:r>
            </w:hyperlink>
          </w:p>
        </w:tc>
        <w:tc>
          <w:tcPr>
            <w:tcW w:w="6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10.1</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Termination Agreement, dated November 13, 2024, by and among the Company, Sunrise Merger Sub, Inc. and Capri Holdings Limited, incorporated</w:t>
              </w:r>
            </w:hyperlink>
          </w:p>
        </w:tc>
      </w:tr>
      <w:tr>
        <w:trPr>
          <w:trHeight w:val="140"/>
        </w:trPr>
        <w:tc>
          <w:tcPr>
            <w:tcW w:w="860" w:type="dxa"/>
            <w:vAlign w:val="bottom"/>
          </w:tcPr>
          <w:p>
            <w:pPr>
              <w:spacing w:after="0"/>
              <w:rPr>
                <w:sz w:val="12"/>
                <w:szCs w:val="12"/>
                <w:color w:val="auto"/>
              </w:rPr>
            </w:pPr>
          </w:p>
        </w:tc>
        <w:tc>
          <w:tcPr>
            <w:tcW w:w="9780" w:type="dxa"/>
            <w:vAlign w:val="bottom"/>
            <w:tcBorders>
              <w:top w:val="single" w:sz="8" w:color="0000FF"/>
            </w:tcBorders>
            <w:gridSpan w:val="13"/>
          </w:tcPr>
          <w:p>
            <w:pPr>
              <w:spacing w:after="0" w:line="13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herein by reference to Exhibit 10.1 to the Company’s Current Report on Form 8-K filed with the SEC on November 14, 2024.</w:t>
              </w:r>
            </w:hyperlink>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10.2</w:t>
            </w:r>
          </w:p>
        </w:tc>
        <w:tc>
          <w:tcPr>
            <w:tcW w:w="10140" w:type="dxa"/>
            <w:vAlign w:val="bottom"/>
            <w:gridSpan w:val="20"/>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ASR Agreement, incorporated herein by reference to Exhibit 10.1 to the Company’s Current Report on Form 8-K filed with the SEC on</w:t>
              </w:r>
            </w:hyperlink>
          </w:p>
        </w:tc>
      </w:tr>
      <w:tr>
        <w:trPr>
          <w:trHeight w:val="140"/>
        </w:trPr>
        <w:tc>
          <w:tcPr>
            <w:tcW w:w="860" w:type="dxa"/>
            <w:vAlign w:val="bottom"/>
          </w:tcPr>
          <w:p>
            <w:pPr>
              <w:spacing w:after="0"/>
              <w:rPr>
                <w:sz w:val="12"/>
                <w:szCs w:val="12"/>
                <w:color w:val="auto"/>
              </w:rPr>
            </w:pPr>
          </w:p>
        </w:tc>
        <w:tc>
          <w:tcPr>
            <w:tcW w:w="9460" w:type="dxa"/>
            <w:vAlign w:val="bottom"/>
            <w:tcBorders>
              <w:top w:val="single" w:sz="8" w:color="0000FF"/>
            </w:tcBorders>
            <w:gridSpan w:val="11"/>
          </w:tcPr>
          <w:p>
            <w:pPr>
              <w:spacing w:after="0" w:line="13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November 22, 2024.</w:t>
              </w:r>
            </w:hyperlink>
          </w:p>
        </w:tc>
        <w:tc>
          <w:tcPr>
            <w:tcW w:w="38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10.3</w:t>
            </w:r>
          </w:p>
        </w:tc>
        <w:tc>
          <w:tcPr>
            <w:tcW w:w="99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Term Loan Credit Agreement dated November 21, 2024 by and among the Company, Bank of America, N.A., as administrative agent, BofA Securities,</w:t>
              </w:r>
            </w:hyperlink>
          </w:p>
        </w:tc>
        <w:tc>
          <w:tcPr>
            <w:tcW w:w="200" w:type="dxa"/>
            <w:vAlign w:val="bottom"/>
            <w:gridSpan w:val="4"/>
          </w:tcPr>
          <w:p>
            <w:pPr>
              <w:spacing w:after="0"/>
              <w:rPr>
                <w:sz w:val="17"/>
                <w:szCs w:val="17"/>
                <w:color w:val="auto"/>
              </w:rPr>
            </w:pPr>
          </w:p>
        </w:tc>
      </w:tr>
      <w:tr>
        <w:trPr>
          <w:trHeight w:val="140"/>
        </w:trPr>
        <w:tc>
          <w:tcPr>
            <w:tcW w:w="860" w:type="dxa"/>
            <w:vAlign w:val="bottom"/>
          </w:tcPr>
          <w:p>
            <w:pPr>
              <w:spacing w:after="0"/>
              <w:rPr>
                <w:sz w:val="12"/>
                <w:szCs w:val="12"/>
                <w:color w:val="auto"/>
              </w:rPr>
            </w:pPr>
          </w:p>
        </w:tc>
        <w:tc>
          <w:tcPr>
            <w:tcW w:w="10140" w:type="dxa"/>
            <w:vAlign w:val="bottom"/>
            <w:gridSpan w:val="20"/>
          </w:tcPr>
          <w:p>
            <w:pPr>
              <w:spacing w:after="0" w:line="139"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Inc. and Morgan Stanley Senior Lending, Inc., as joint lead arrangers and joint bookrunners and the lenders party thereto, incorporated herein by reference</w:t>
              </w:r>
            </w:hyperlink>
          </w:p>
        </w:tc>
      </w:tr>
      <w:tr>
        <w:trPr>
          <w:trHeight w:val="152"/>
        </w:trPr>
        <w:tc>
          <w:tcPr>
            <w:tcW w:w="86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from Exhibit 10.2 to the Company’s Current Report on Form 8-K filed with the SEC on November 22, 2024.</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89"/>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10.4*</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Amendment No. 2, dated as of December 20, 2024, to the Credit Agreement, dated as of May 11, 2022 (as amended by Amendment No. 1, dated as of</w:t>
            </w:r>
          </w:p>
        </w:tc>
      </w:tr>
      <w:tr>
        <w:trPr>
          <w:trHeight w:val="140"/>
        </w:trPr>
        <w:tc>
          <w:tcPr>
            <w:tcW w:w="860" w:type="dxa"/>
            <w:vAlign w:val="bottom"/>
          </w:tcPr>
          <w:p>
            <w:pPr>
              <w:spacing w:after="0"/>
              <w:rPr>
                <w:sz w:val="12"/>
                <w:szCs w:val="12"/>
                <w:color w:val="auto"/>
              </w:rPr>
            </w:pPr>
          </w:p>
        </w:tc>
        <w:tc>
          <w:tcPr>
            <w:tcW w:w="9220" w:type="dxa"/>
            <w:vAlign w:val="bottom"/>
            <w:tcBorders>
              <w:top w:val="single" w:sz="8" w:color="0000FF"/>
              <w:bottom w:val="single" w:sz="8" w:color="0000FF"/>
            </w:tcBorders>
            <w:gridSpan w:val="10"/>
          </w:tcPr>
          <w:p>
            <w:pPr>
              <w:spacing w:after="0" w:line="139" w:lineRule="exact"/>
              <w:rPr>
                <w:sz w:val="20"/>
                <w:szCs w:val="20"/>
                <w:color w:val="auto"/>
              </w:rPr>
            </w:pPr>
            <w:r>
              <w:rPr>
                <w:rFonts w:ascii="Times New Roman" w:cs="Times New Roman" w:eastAsia="Times New Roman" w:hAnsi="Times New Roman"/>
                <w:sz w:val="16"/>
                <w:szCs w:val="16"/>
                <w:color w:val="0000FF"/>
              </w:rPr>
              <w:t>August 30, 2023) among the Company, the foreign subsidiary borrowers party thereto, the lenders party thereto and the administrative agent.</w:t>
            </w:r>
          </w:p>
        </w:tc>
        <w:tc>
          <w:tcPr>
            <w:tcW w:w="620" w:type="dxa"/>
            <w:vAlign w:val="bottom"/>
            <w:tcBorders>
              <w:top w:val="single" w:sz="8" w:color="0000FF"/>
            </w:tcBorders>
            <w:gridSpan w:val="4"/>
          </w:tcPr>
          <w:p>
            <w:pPr>
              <w:spacing w:after="0"/>
              <w:rPr>
                <w:sz w:val="12"/>
                <w:szCs w:val="12"/>
                <w:color w:val="auto"/>
              </w:rPr>
            </w:pPr>
          </w:p>
        </w:tc>
        <w:tc>
          <w:tcPr>
            <w:tcW w:w="300" w:type="dxa"/>
            <w:vAlign w:val="bottom"/>
            <w:gridSpan w:val="6"/>
          </w:tcPr>
          <w:p>
            <w:pPr>
              <w:spacing w:after="0"/>
              <w:rPr>
                <w:sz w:val="12"/>
                <w:szCs w:val="12"/>
                <w:color w:val="auto"/>
              </w:rPr>
            </w:pPr>
          </w:p>
        </w:tc>
      </w:tr>
      <w:tr>
        <w:trPr>
          <w:trHeight w:val="201"/>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31.1*</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Rule 13(a)-14(a)/15(d)-14(a) Certification </w:t>
            </w:r>
            <w:r>
              <w:rPr>
                <w:rFonts w:ascii="Times New Roman" w:cs="Times New Roman" w:eastAsia="Times New Roman" w:hAnsi="Times New Roman"/>
                <w:sz w:val="16"/>
                <w:szCs w:val="16"/>
                <w:color w:val="000000"/>
              </w:rPr>
              <w:t>of the Company's Chief Executive Officer</w:t>
            </w: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r>
      <w:tr>
        <w:trPr>
          <w:trHeight w:val="189"/>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31.2*</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Rule 13(a)-14(a)/15(d)-14(a) Certification </w:t>
            </w:r>
            <w:r>
              <w:rPr>
                <w:rFonts w:ascii="Times New Roman" w:cs="Times New Roman" w:eastAsia="Times New Roman" w:hAnsi="Times New Roman"/>
                <w:sz w:val="16"/>
                <w:szCs w:val="16"/>
                <w:color w:val="000000"/>
              </w:rPr>
              <w:t>of the Company's Chief Financial Officer</w:t>
            </w: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r>
      <w:tr>
        <w:trPr>
          <w:trHeight w:val="189"/>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32.1**</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Section 1350 </w:t>
            </w:r>
            <w:r>
              <w:rPr>
                <w:rFonts w:ascii="Times New Roman" w:cs="Times New Roman" w:eastAsia="Times New Roman" w:hAnsi="Times New Roman"/>
                <w:sz w:val="16"/>
                <w:szCs w:val="16"/>
                <w:color w:val="000000"/>
              </w:rPr>
              <w:t>Certification of the Company's Chief Executive Officer</w:t>
            </w: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280" w:type="dxa"/>
            <w:vAlign w:val="bottom"/>
            <w:gridSpan w:val="19"/>
          </w:tcPr>
          <w:p>
            <w:pPr>
              <w:spacing w:after="0" w:line="20" w:lineRule="exact"/>
              <w:rPr>
                <w:sz w:val="1"/>
                <w:szCs w:val="1"/>
                <w:color w:val="auto"/>
              </w:rPr>
            </w:pPr>
          </w:p>
        </w:tc>
      </w:tr>
      <w:tr>
        <w:trPr>
          <w:trHeight w:val="189"/>
        </w:trPr>
        <w:tc>
          <w:tcPr>
            <w:tcW w:w="8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32.2**</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Section 1350 </w:t>
            </w:r>
            <w:r>
              <w:rPr>
                <w:rFonts w:ascii="Times New Roman" w:cs="Times New Roman" w:eastAsia="Times New Roman" w:hAnsi="Times New Roman"/>
                <w:sz w:val="16"/>
                <w:szCs w:val="16"/>
                <w:color w:val="000000"/>
              </w:rPr>
              <w:t>Certification of the Company's Chief Financial Officer</w:t>
            </w: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280" w:type="dxa"/>
            <w:vAlign w:val="bottom"/>
            <w:gridSpan w:val="19"/>
          </w:tcPr>
          <w:p>
            <w:pPr>
              <w:spacing w:after="0" w:line="20" w:lineRule="exact"/>
              <w:rPr>
                <w:sz w:val="1"/>
                <w:szCs w:val="1"/>
                <w:color w:val="auto"/>
              </w:rPr>
            </w:pPr>
          </w:p>
        </w:tc>
      </w:tr>
      <w:tr>
        <w:trPr>
          <w:trHeight w:val="22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bl>
    <w:p>
      <w:pPr>
        <w:ind w:left="782"/>
        <w:spacing w:after="0"/>
        <w:rPr>
          <w:sz w:val="20"/>
          <w:szCs w:val="20"/>
          <w:color w:val="auto"/>
        </w:rPr>
      </w:pPr>
      <w:r>
        <w:rPr>
          <w:rFonts w:ascii="Times New Roman" w:cs="Times New Roman" w:eastAsia="Times New Roman" w:hAnsi="Times New Roman"/>
          <w:sz w:val="16"/>
          <w:szCs w:val="16"/>
          <w:i w:val="1"/>
          <w:iCs w:val="1"/>
          <w:color w:val="auto"/>
        </w:rPr>
        <w:t>Note: the instance document does not appear in the Interactive Data File because its XBRL tags are embedded within the Inline XBRL document.</w:t>
      </w:r>
    </w:p>
    <w:p>
      <w:pPr>
        <w:spacing w:after="0" w:line="204" w:lineRule="exact"/>
        <w:rPr>
          <w:sz w:val="20"/>
          <w:szCs w:val="20"/>
          <w:color w:val="auto"/>
        </w:rPr>
      </w:pPr>
    </w:p>
    <w:tbl>
      <w:tblPr>
        <w:tblLayout w:type="fixed"/>
        <w:tblInd w:w="182" w:type="dxa"/>
        <w:tblCellMar>
          <w:top w:w="0" w:type="dxa"/>
          <w:left w:w="0" w:type="dxa"/>
          <w:bottom w:w="0" w:type="dxa"/>
          <w:right w:w="0" w:type="dxa"/>
        </w:tblCellMar>
      </w:tblP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0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4"/>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2" w:right="4860" w:firstLine="409"/>
        <w:spacing w:after="0" w:line="600" w:lineRule="auto"/>
        <w:tabs>
          <w:tab w:leader="none" w:pos="108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ind w:left="202" w:hanging="202"/>
        <w:spacing w:after="0"/>
        <w:tabs>
          <w:tab w:leader="none" w:pos="20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13868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042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0420" cy="41275"/>
                    </a:xfrm>
                    <a:prstGeom prst="rect">
                      <a:avLst/>
                    </a:prstGeom>
                    <a:noFill/>
                  </pic:spPr>
                </pic:pic>
              </a:graphicData>
            </a:graphic>
          </wp:anchor>
        </w:drawing>
      </w:r>
    </w:p>
    <w:p>
      <w:pPr>
        <w:sectPr>
          <w:pgSz w:w="11900" w:h="16838" w:orient="portrait"/>
          <w:cols w:equalWidth="0" w:num="1">
            <w:col w:w="11202"/>
          </w:cols>
          <w:pgMar w:left="318" w:top="966" w:right="3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TAPESTRY, INC.</w:t>
      </w:r>
    </w:p>
    <w:p>
      <w:pPr>
        <w:spacing w:after="0" w:line="3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(Registrant)</w:t>
      </w:r>
    </w:p>
    <w:p>
      <w:pPr>
        <w:spacing w:after="0" w:line="228" w:lineRule="exact"/>
        <w:rPr>
          <w:sz w:val="20"/>
          <w:szCs w:val="20"/>
          <w:color w:val="auto"/>
        </w:rPr>
      </w:pPr>
    </w:p>
    <w:tbl>
      <w:tblPr>
        <w:tblLayout w:type="fixed"/>
        <w:tblInd w:w="6300" w:type="dxa"/>
        <w:tblCellMar>
          <w:top w:w="0" w:type="dxa"/>
          <w:left w:w="0" w:type="dxa"/>
          <w:bottom w:w="0" w:type="dxa"/>
          <w:right w:w="0" w:type="dxa"/>
        </w:tblCellMar>
      </w:tblPr>
      <w:tr>
        <w:trPr>
          <w:trHeight w:val="213"/>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Manesh B. Dadlani</w:t>
            </w:r>
          </w:p>
        </w:tc>
      </w:tr>
      <w:tr>
        <w:trPr>
          <w:trHeight w:val="197"/>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Manesh B. Dadlani</w:t>
            </w: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Controller</w:t>
            </w:r>
          </w:p>
        </w:tc>
      </w:tr>
      <w:tr>
        <w:trPr>
          <w:trHeight w:val="214"/>
        </w:trPr>
        <w:tc>
          <w:tcPr>
            <w:tcW w:w="84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6,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240"/>
          </w:cols>
          <w:pgMar w:left="320" w:top="9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56"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AMENDMENT NO. 2 TO CREDIT AGREEMENT</w:t>
      </w:r>
    </w:p>
    <w:p>
      <w:pPr>
        <w:spacing w:after="0" w:line="226" w:lineRule="exact"/>
        <w:rPr>
          <w:sz w:val="20"/>
          <w:szCs w:val="20"/>
          <w:color w:val="auto"/>
        </w:rPr>
      </w:pPr>
    </w:p>
    <w:p>
      <w:pPr>
        <w:jc w:val="both"/>
        <w:ind w:right="20" w:firstLine="1178"/>
        <w:spacing w:after="0" w:line="260" w:lineRule="auto"/>
        <w:rPr>
          <w:sz w:val="20"/>
          <w:szCs w:val="20"/>
          <w:color w:val="auto"/>
        </w:rPr>
      </w:pPr>
      <w:r>
        <w:rPr>
          <w:rFonts w:ascii="Times New Roman" w:cs="Times New Roman" w:eastAsia="Times New Roman" w:hAnsi="Times New Roman"/>
          <w:sz w:val="18"/>
          <w:szCs w:val="18"/>
          <w:color w:val="auto"/>
        </w:rPr>
        <w:t>This AMENDMENT NO. 2 TO CREDIT AGREEMENT, dated as of December 20,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among TAPESTRY,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Lenders signatory hereto and BANK OF AMERICA,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the Credit Agreement, dated as of May 11, 2022 (as amended by Amendment No. 1, dated as of August 30, 2023, and as further amended, supplemented or otherwise modified from time to time prior to the date hereof,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Company, the Foreign Subsidiary Borrowers party thereto, the Lenders thereto and the Administrative Agent.</w:t>
      </w:r>
    </w:p>
    <w:p>
      <w:pPr>
        <w:spacing w:after="0" w:line="179" w:lineRule="exact"/>
        <w:rPr>
          <w:sz w:val="20"/>
          <w:szCs w:val="20"/>
          <w:color w:val="auto"/>
        </w:rPr>
      </w:pPr>
    </w:p>
    <w:p>
      <w:pPr>
        <w:jc w:val="both"/>
        <w:ind w:right="20" w:firstLine="1178"/>
        <w:spacing w:after="0" w:line="287" w:lineRule="auto"/>
        <w:rPr>
          <w:sz w:val="20"/>
          <w:szCs w:val="20"/>
          <w:color w:val="auto"/>
        </w:rPr>
      </w:pPr>
      <w:r>
        <w:rPr>
          <w:rFonts w:ascii="Times New Roman" w:cs="Times New Roman" w:eastAsia="Times New Roman" w:hAnsi="Times New Roman"/>
          <w:sz w:val="18"/>
          <w:szCs w:val="18"/>
          <w:color w:val="auto"/>
        </w:rPr>
        <w:t xml:space="preserve">WHEREAS, the Company and the Lenders party hereto (which constitute the Required Lenders) desire to amend the Credit Agreement on the Amendment Effective Date (as defined below) pursuant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of the Credit Agreement.</w:t>
      </w:r>
    </w:p>
    <w:p>
      <w:pPr>
        <w:spacing w:after="0" w:line="168" w:lineRule="exact"/>
        <w:rPr>
          <w:sz w:val="20"/>
          <w:szCs w:val="20"/>
          <w:color w:val="auto"/>
        </w:rPr>
      </w:pPr>
    </w:p>
    <w:p>
      <w:pPr>
        <w:ind w:right="120" w:firstLine="1178"/>
        <w:spacing w:after="0" w:line="273" w:lineRule="auto"/>
        <w:rPr>
          <w:sz w:val="20"/>
          <w:szCs w:val="20"/>
          <w:color w:val="auto"/>
        </w:rPr>
      </w:pPr>
      <w:r>
        <w:rPr>
          <w:rFonts w:ascii="Times New Roman" w:cs="Times New Roman" w:eastAsia="Times New Roman" w:hAnsi="Times New Roman"/>
          <w:sz w:val="18"/>
          <w:szCs w:val="18"/>
          <w:color w:val="auto"/>
        </w:rPr>
        <w:t>NOW THEREFORE, in consideration of the mutual execution hereof and other good and valuable consideration, the parties hereto hereby agree as follows:</w:t>
      </w:r>
    </w:p>
    <w:p>
      <w:pPr>
        <w:spacing w:after="0" w:line="179" w:lineRule="exact"/>
        <w:rPr>
          <w:sz w:val="20"/>
          <w:szCs w:val="20"/>
          <w:color w:val="auto"/>
        </w:rPr>
      </w:pPr>
    </w:p>
    <w:p>
      <w:pPr>
        <w:ind w:right="20" w:firstLine="1176"/>
        <w:spacing w:after="0" w:line="273" w:lineRule="auto"/>
        <w:tabs>
          <w:tab w:leader="none" w:pos="17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which are defined in the Credit Agreement and not otherwise defined herein have the meanings given in the Amended Credit Agreement.</w:t>
      </w:r>
    </w:p>
    <w:p>
      <w:pPr>
        <w:spacing w:after="0" w:line="179" w:lineRule="exact"/>
        <w:rPr>
          <w:rFonts w:ascii="Times New Roman" w:cs="Times New Roman" w:eastAsia="Times New Roman" w:hAnsi="Times New Roman"/>
          <w:sz w:val="18"/>
          <w:szCs w:val="18"/>
          <w:color w:val="auto"/>
        </w:rPr>
      </w:pPr>
    </w:p>
    <w:p>
      <w:pPr>
        <w:jc w:val="both"/>
        <w:ind w:right="20" w:firstLine="1176"/>
        <w:spacing w:after="0" w:line="256" w:lineRule="auto"/>
        <w:tabs>
          <w:tab w:leader="none" w:pos="17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As of the Amendment Effective Date, 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Amended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any Schedule or Exhibit to the Credit Agreement not amended pursuant to the terms of this Amendment or otherwise included as part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remain in effect without any amendment or other modification thereto.</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Credit Agreement, as amended by this Amendment, is hereinafter referred to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right="20" w:firstLine="1176"/>
        <w:spacing w:after="0" w:line="273" w:lineRule="auto"/>
        <w:tabs>
          <w:tab w:leader="none" w:pos="17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will become effective upon the first date the following conditions precedent are satisfied (such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760" w:hanging="584"/>
        <w:spacing w:after="0"/>
        <w:tabs>
          <w:tab w:leader="none" w:pos="1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party hereto a counterpart of this Agreement signed on</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behalf of such party.</w:t>
      </w:r>
    </w:p>
    <w:p>
      <w:pPr>
        <w:spacing w:after="0" w:line="214" w:lineRule="exact"/>
        <w:rPr>
          <w:rFonts w:ascii="Times New Roman" w:cs="Times New Roman" w:eastAsia="Times New Roman" w:hAnsi="Times New Roman"/>
          <w:sz w:val="18"/>
          <w:szCs w:val="18"/>
          <w:color w:val="auto"/>
        </w:rPr>
      </w:pPr>
    </w:p>
    <w:p>
      <w:pPr>
        <w:ind w:right="20" w:firstLine="1176"/>
        <w:spacing w:after="0" w:line="273" w:lineRule="auto"/>
        <w:tabs>
          <w:tab w:leader="none" w:pos="17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Company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shall be true in all respects and no Default or Event of Default shall have occurred and be continuing or shall occur after giving effect to this Amendment.</w:t>
      </w:r>
    </w:p>
    <w:p>
      <w:pPr>
        <w:spacing w:after="0" w:line="179" w:lineRule="exact"/>
        <w:rPr>
          <w:sz w:val="20"/>
          <w:szCs w:val="20"/>
          <w:color w:val="auto"/>
        </w:rPr>
      </w:pPr>
    </w:p>
    <w:p>
      <w:pPr>
        <w:jc w:val="both"/>
        <w:ind w:right="20" w:firstLine="1176"/>
        <w:spacing w:after="0" w:line="253" w:lineRule="auto"/>
        <w:tabs>
          <w:tab w:leader="none" w:pos="17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Company represents and warrants, as of the date hereof, that, after giving effect to the provisions of this Amendment, (a) each of the representations and warranties made by the Loan Parties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Amended Credit Agreement is true in all material respects on and as of the date hereof as if made on and as of the date hereof, except to the extent that such representations and warranties refer to an earlier date, in which case they were true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representation and warranty is already qualified by materiality in the Amended Credit Agreement, Material Adverse Effect or words of similar import, such representation and warranty shall be true and correct in all respects, and (b) no Default or Event of Default has occurred and is continuing.</w:t>
      </w:r>
    </w:p>
    <w:p>
      <w:pPr>
        <w:spacing w:after="0" w:line="4" w:lineRule="exact"/>
        <w:rPr>
          <w:rFonts w:ascii="Times New Roman" w:cs="Times New Roman" w:eastAsia="Times New Roman" w:hAnsi="Times New Roman"/>
          <w:sz w:val="18"/>
          <w:szCs w:val="18"/>
          <w:color w:val="auto"/>
        </w:rPr>
      </w:pPr>
    </w:p>
    <w:p>
      <w:pPr>
        <w:ind w:right="20" w:firstLine="1176"/>
        <w:spacing w:after="0" w:line="257" w:lineRule="auto"/>
        <w:tabs>
          <w:tab w:leader="none" w:pos="17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Effect of the Credit Agreement</w:t>
      </w:r>
      <w:r>
        <w:rPr>
          <w:rFonts w:ascii="Times New Roman" w:cs="Times New Roman" w:eastAsia="Times New Roman" w:hAnsi="Times New Roman"/>
          <w:sz w:val="18"/>
          <w:szCs w:val="18"/>
          <w:color w:val="auto"/>
        </w:rPr>
        <w:t>. This Amendment is limited solely to the matters expressly set forth herein and does not constitute an amendment to any provision of the Credit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320" w:top="630" w:right="31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18"/>
          <w:szCs w:val="18"/>
          <w:color w:val="auto"/>
        </w:rPr>
        <w:t>Agreement other than as set forth herein. Subject to the express terms of this Amendment, the Credit Agreement remains in full force and effect, and the Company and the Lenders acknowledge and agree that all of their obligations hereunder and under the Amended Credit Agreement shall be valid and enforceable and shall not be impaired or limited by the execution or effectiveness of this Amendment except to the extent specified herein. Upon the effectiveness of this Amendment, each reference in the Amended Credit Agreement and in any exhibits attached thereto to “this Agreement”, “hereunder”, “hereof”, “herein” or words of similar import shall mean and be a reference to the Credit Agreement after giving effect hereto.</w:t>
      </w:r>
    </w:p>
    <w:p>
      <w:pPr>
        <w:jc w:val="both"/>
        <w:ind w:firstLine="1176"/>
        <w:spacing w:after="0" w:line="254" w:lineRule="auto"/>
        <w:tabs>
          <w:tab w:leader="none" w:pos="17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9.03</w:t>
      </w:r>
      <w:r>
        <w:rPr>
          <w:rFonts w:ascii="Times New Roman" w:cs="Times New Roman" w:eastAsia="Times New Roman" w:hAnsi="Times New Roman"/>
          <w:sz w:val="18"/>
          <w:szCs w:val="18"/>
          <w:color w:val="auto"/>
        </w:rPr>
        <w:t xml:space="preserve"> (Expenses; Indemnity; Damage Waiver),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(Survival),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(Counterparts; Integration; Effectiveness; Electronic Execution), </w:t>
      </w:r>
      <w:r>
        <w:rPr>
          <w:rFonts w:ascii="Times New Roman" w:cs="Times New Roman" w:eastAsia="Times New Roman" w:hAnsi="Times New Roman"/>
          <w:sz w:val="18"/>
          <w:szCs w:val="18"/>
          <w:u w:val="single" w:color="auto"/>
          <w:color w:val="auto"/>
        </w:rPr>
        <w:t>9.07</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9.09</w:t>
      </w:r>
      <w:r>
        <w:rPr>
          <w:rFonts w:ascii="Times New Roman" w:cs="Times New Roman" w:eastAsia="Times New Roman" w:hAnsi="Times New Roman"/>
          <w:sz w:val="18"/>
          <w:szCs w:val="18"/>
          <w:color w:val="auto"/>
        </w:rPr>
        <w:t xml:space="preserve"> (Governing Law; Submission to Jurisdiction; Consent to Service of Process),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 xml:space="preserve"> (Waiver of Jury Trial),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(Headings) and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(Confidentiality) of the Amended Credit Agreement shall apply with like effect to this Amendment. This Amendment shall constitute a Loan Document.</w:t>
      </w:r>
    </w:p>
    <w:p>
      <w:pPr>
        <w:spacing w:after="0" w:line="19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34" w:right="339" w:bottom="1440" w:gutter="0" w:footer="0" w:header="0"/>
        </w:sectPr>
      </w:pPr>
    </w:p>
    <w:bookmarkStart w:id="58" w:name="page59"/>
    <w:bookmarkEnd w:id="58"/>
    <w:p>
      <w:pPr>
        <w:ind w:firstLine="1177"/>
        <w:spacing w:after="0" w:line="287"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proper and duly authorized officers as of the day and year first above written.</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Katia DeVita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20955</wp:posOffset>
            </wp:positionV>
            <wp:extent cx="3568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568700" cy="7620"/>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Katia DeVita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2 to Credit Agreement]</w:t>
      </w:r>
    </w:p>
    <w:p>
      <w:pPr>
        <w:sectPr>
          <w:pgSz w:w="11900" w:h="16838" w:orient="portrait"/>
          <w:cols w:equalWidth="0" w:num="1">
            <w:col w:w="11240"/>
          </w:cols>
          <w:pgMar w:left="320" w:top="634" w:right="339" w:bottom="1440" w:gutter="0" w:footer="0" w:header="0"/>
        </w:sectPr>
      </w:pPr>
    </w:p>
    <w:bookmarkStart w:id="59" w:name="page60"/>
    <w:bookmarkEnd w:id="59"/>
    <w:p>
      <w:pPr>
        <w:ind w:left="450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 as the</w:t>
      </w:r>
    </w:p>
    <w:p>
      <w:pPr>
        <w:spacing w:after="0" w:line="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Administrative Agent and a Lender</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Michelle 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13335</wp:posOffset>
            </wp:positionV>
            <wp:extent cx="357632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Michelle L. Walker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60" w:name="page61"/>
    <w:bookmarkEnd w:id="60"/>
    <w:p>
      <w:pPr>
        <w:ind w:left="4500"/>
        <w:spacing w:after="0"/>
        <w:rPr>
          <w:sz w:val="20"/>
          <w:szCs w:val="20"/>
          <w:color w:val="auto"/>
        </w:rPr>
      </w:pPr>
      <w:r>
        <w:rPr>
          <w:rFonts w:ascii="Times New Roman" w:cs="Times New Roman" w:eastAsia="Times New Roman" w:hAnsi="Times New Roman"/>
          <w:sz w:val="17"/>
          <w:szCs w:val="17"/>
          <w:color w:val="auto"/>
        </w:rPr>
        <w:t>Bank of China, New York Branch, as a Lender</w:t>
      </w:r>
    </w:p>
    <w:p>
      <w:pPr>
        <w:spacing w:after="0" w:line="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92" w:right="1440" w:bottom="1440" w:gutter="0" w:footer="0" w:header="0"/>
        </w:sectPr>
      </w:pPr>
    </w:p>
    <w:bookmarkStart w:id="61" w:name="page62"/>
    <w:bookmarkEnd w:id="61"/>
    <w:p>
      <w:pPr>
        <w:ind w:left="4500"/>
        <w:spacing w:after="0"/>
        <w:rPr>
          <w:sz w:val="20"/>
          <w:szCs w:val="20"/>
          <w:color w:val="auto"/>
        </w:rPr>
      </w:pPr>
      <w:r>
        <w:rPr>
          <w:rFonts w:ascii="Times New Roman" w:cs="Times New Roman" w:eastAsia="Times New Roman" w:hAnsi="Times New Roman"/>
          <w:sz w:val="17"/>
          <w:szCs w:val="17"/>
          <w:color w:val="auto"/>
        </w:rPr>
        <w:t>PNC BANK, NATIONAL ASSOCIATION,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Blaise Schultheis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13335</wp:posOffset>
            </wp:positionV>
            <wp:extent cx="35763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Blaise Schultheis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92" w:right="1440" w:bottom="1440" w:gutter="0" w:footer="0" w:header="0"/>
        </w:sectPr>
      </w:pPr>
    </w:p>
    <w:bookmarkStart w:id="62" w:name="page63"/>
    <w:bookmarkEnd w:id="62"/>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ING BANK B.V., Dublin Branch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Cormac Langford</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63" w:name="page64"/>
    <w:bookmarkEnd w:id="63"/>
    <w:p>
      <w:pPr>
        <w:ind w:left="4500"/>
        <w:spacing w:after="0"/>
        <w:rPr>
          <w:sz w:val="20"/>
          <w:szCs w:val="20"/>
          <w:color w:val="auto"/>
        </w:rPr>
      </w:pPr>
      <w:r>
        <w:rPr>
          <w:rFonts w:ascii="Times New Roman" w:cs="Times New Roman" w:eastAsia="Times New Roman" w:hAnsi="Times New Roman"/>
          <w:sz w:val="17"/>
          <w:szCs w:val="17"/>
          <w:color w:val="auto"/>
        </w:rPr>
        <w:t>MUFG Bank, Ltd., as a Lender</w:t>
      </w:r>
    </w:p>
    <w:p>
      <w:pPr>
        <w:spacing w:after="0" w:line="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Lillian Kim</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1113" w:right="1440" w:bottom="1440" w:gutter="0" w:footer="0" w:header="0"/>
        </w:sectPr>
      </w:pPr>
    </w:p>
    <w:bookmarkStart w:id="64" w:name="page65"/>
    <w:bookmarkEnd w:id="64"/>
    <w:p>
      <w:pPr>
        <w:ind w:left="4500"/>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color w:val="auto"/>
        </w:rPr>
        <w:t>, as a Lender</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Bernadette Collins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1109" w:right="1440" w:bottom="1440" w:gutter="0" w:footer="0" w:header="0"/>
        </w:sectPr>
      </w:pPr>
    </w:p>
    <w:bookmarkStart w:id="65" w:name="page66"/>
    <w:bookmarkEnd w:id="65"/>
    <w:p>
      <w:pPr>
        <w:ind w:left="4500"/>
        <w:spacing w:after="0"/>
        <w:rPr>
          <w:sz w:val="20"/>
          <w:szCs w:val="20"/>
          <w:color w:val="auto"/>
        </w:rPr>
      </w:pPr>
      <w:r>
        <w:rPr>
          <w:rFonts w:ascii="Times New Roman" w:cs="Times New Roman" w:eastAsia="Times New Roman" w:hAnsi="Times New Roman"/>
          <w:sz w:val="18"/>
          <w:szCs w:val="18"/>
          <w:b w:val="1"/>
          <w:bCs w:val="1"/>
          <w:color w:val="auto"/>
        </w:rPr>
        <w:t xml:space="preserve">GOLDMAN SACHS BANK USA, </w:t>
      </w:r>
      <w:r>
        <w:rPr>
          <w:rFonts w:ascii="Times New Roman" w:cs="Times New Roman" w:eastAsia="Times New Roman" w:hAnsi="Times New Roman"/>
          <w:sz w:val="18"/>
          <w:szCs w:val="18"/>
          <w:color w:val="auto"/>
        </w:rPr>
        <w:t>as a Lender</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Priyankush Goswami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66" w:name="page67"/>
    <w:bookmarkEnd w:id="66"/>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MORGAN STANLEY BANK, N.A.,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Gretell Merlo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Gretell Merlo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1109" w:right="1440" w:bottom="1440" w:gutter="0" w:footer="0" w:header="0"/>
        </w:sectPr>
      </w:pPr>
    </w:p>
    <w:bookmarkStart w:id="67" w:name="page68"/>
    <w:bookmarkEnd w:id="67"/>
    <w:p>
      <w:pPr>
        <w:ind w:left="4500"/>
        <w:spacing w:after="0"/>
        <w:rPr>
          <w:sz w:val="20"/>
          <w:szCs w:val="20"/>
          <w:color w:val="auto"/>
        </w:rPr>
      </w:pPr>
      <w:r>
        <w:rPr>
          <w:rFonts w:ascii="Times New Roman" w:cs="Times New Roman" w:eastAsia="Times New Roman" w:hAnsi="Times New Roman"/>
          <w:sz w:val="18"/>
          <w:szCs w:val="18"/>
          <w:b w:val="1"/>
          <w:bCs w:val="1"/>
          <w:color w:val="auto"/>
        </w:rPr>
        <w:t xml:space="preserve">HSBC BANK, N.A., </w:t>
      </w:r>
      <w:r>
        <w:rPr>
          <w:rFonts w:ascii="Times New Roman" w:cs="Times New Roman" w:eastAsia="Times New Roman" w:hAnsi="Times New Roman"/>
          <w:sz w:val="18"/>
          <w:szCs w:val="18"/>
          <w:color w:val="auto"/>
        </w:rPr>
        <w:t>as a Lender</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Alexis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Alexis Romano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 #23660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1109" w:right="1440" w:bottom="1440" w:gutter="0" w:footer="0" w:header="0"/>
        </w:sectPr>
      </w:pPr>
    </w:p>
    <w:bookmarkStart w:id="68" w:name="page69"/>
    <w:bookmarkEnd w:id="68"/>
    <w:p>
      <w:pPr>
        <w:ind w:left="4500"/>
        <w:spacing w:after="0"/>
        <w:rPr>
          <w:sz w:val="20"/>
          <w:szCs w:val="20"/>
          <w:color w:val="auto"/>
        </w:rPr>
      </w:pPr>
      <w:r>
        <w:rPr>
          <w:rFonts w:ascii="Times New Roman" w:cs="Times New Roman" w:eastAsia="Times New Roman" w:hAnsi="Times New Roman"/>
          <w:sz w:val="17"/>
          <w:szCs w:val="17"/>
          <w:b w:val="1"/>
          <w:bCs w:val="1"/>
          <w:color w:val="auto"/>
        </w:rPr>
        <w:t>BANCO SANTANDER, S.A., NEW YORK</w:t>
      </w:r>
    </w:p>
    <w:p>
      <w:pPr>
        <w:spacing w:after="0" w:line="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13335</wp:posOffset>
            </wp:positionV>
            <wp:extent cx="35763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Rita Walz-Cuccioli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69" w:name="page70"/>
    <w:bookmarkEnd w:id="69"/>
    <w:p>
      <w:pPr>
        <w:ind w:left="4500"/>
        <w:spacing w:after="0"/>
        <w:rPr>
          <w:sz w:val="20"/>
          <w:szCs w:val="20"/>
          <w:color w:val="auto"/>
        </w:rPr>
      </w:pPr>
      <w:r>
        <w:rPr>
          <w:rFonts w:ascii="Times New Roman" w:cs="Times New Roman" w:eastAsia="Times New Roman" w:hAnsi="Times New Roman"/>
          <w:sz w:val="18"/>
          <w:szCs w:val="18"/>
          <w:color w:val="auto"/>
        </w:rPr>
        <w:t>BNP PARIBAS,</w:t>
      </w: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David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13335</wp:posOffset>
            </wp:positionV>
            <wp:extent cx="35763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David Foster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John Bosco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John Bosco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9" w:right="1440" w:bottom="1440" w:gutter="0" w:footer="0" w:header="0"/>
        </w:sectPr>
      </w:pPr>
    </w:p>
    <w:bookmarkStart w:id="70" w:name="page71"/>
    <w:bookmarkEnd w:id="70"/>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JPMORGAN CHASE BANK, N.A.,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James Kyle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James Kyle O’Donnell</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71" w:name="page72"/>
    <w:bookmarkEnd w:id="71"/>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Standard Chartered Bank,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Kristopher Tracy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72" w:name="page73"/>
    <w:bookmarkEnd w:id="72"/>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Australia and New Zealand Banking Group Limited,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Robert Grillo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36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2 to Credit Agreement]</w:t>
      </w:r>
    </w:p>
    <w:p>
      <w:pPr>
        <w:sectPr>
          <w:pgSz w:w="11900" w:h="16838" w:orient="portrait"/>
          <w:cols w:equalWidth="0" w:num="1">
            <w:col w:w="9440"/>
          </w:cols>
          <w:pgMar w:left="1440" w:top="888" w:right="1019" w:bottom="1440" w:gutter="0" w:footer="0" w:header="0"/>
        </w:sectPr>
      </w:pPr>
    </w:p>
    <w:bookmarkStart w:id="73" w:name="page74"/>
    <w:bookmarkEnd w:id="73"/>
    <w:p>
      <w:pPr>
        <w:ind w:left="450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a Lender</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Jason Boera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Jason Boera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74" w:name="page75"/>
    <w:bookmarkEnd w:id="74"/>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DBS BANK LTD.,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Kate Khoo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75" w:name="page76"/>
    <w:bookmarkEnd w:id="75"/>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WELLS FARGO BANK, NATIONAL ASSOCIATION,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Bina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Bina Barnes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6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2 to Credit Agreement]</w:t>
      </w:r>
    </w:p>
    <w:p>
      <w:pPr>
        <w:sectPr>
          <w:pgSz w:w="11900" w:h="16838" w:orient="portrait"/>
          <w:cols w:equalWidth="0" w:num="1">
            <w:col w:w="9640"/>
          </w:cols>
          <w:pgMar w:left="1440" w:top="888" w:right="819" w:bottom="1440" w:gutter="0" w:footer="0" w:header="0"/>
        </w:sectPr>
      </w:pPr>
    </w:p>
    <w:bookmarkStart w:id="76" w:name="page77"/>
    <w:bookmarkEnd w:id="76"/>
    <w:p>
      <w:pPr>
        <w:ind w:left="4500"/>
        <w:spacing w:after="0"/>
        <w:rPr>
          <w:sz w:val="20"/>
          <w:szCs w:val="20"/>
          <w:color w:val="auto"/>
        </w:rPr>
      </w:pPr>
      <w:r>
        <w:rPr>
          <w:rFonts w:ascii="Times New Roman" w:cs="Times New Roman" w:eastAsia="Times New Roman" w:hAnsi="Times New Roman"/>
          <w:sz w:val="17"/>
          <w:szCs w:val="17"/>
          <w:b w:val="1"/>
          <w:bCs w:val="1"/>
          <w:color w:val="auto"/>
        </w:rPr>
        <w:t xml:space="preserve">U.S. Bank National Association, </w:t>
      </w:r>
      <w:r>
        <w:rPr>
          <w:rFonts w:ascii="Times New Roman" w:cs="Times New Roman" w:eastAsia="Times New Roman" w:hAnsi="Times New Roman"/>
          <w:sz w:val="17"/>
          <w:szCs w:val="17"/>
          <w:color w:val="auto"/>
        </w:rPr>
        <w:t>as a Lender</w:t>
      </w:r>
    </w:p>
    <w:p>
      <w:pPr>
        <w:spacing w:after="0" w:line="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6"/>
          <w:szCs w:val="16"/>
          <w:color w:val="auto"/>
        </w:rPr>
        <w:t>/s/ Mark 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20955</wp:posOffset>
            </wp:positionV>
            <wp:extent cx="35763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Mark D. Rodgers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2 to Credit Agreement]</w:t>
      </w:r>
    </w:p>
    <w:p>
      <w:pPr>
        <w:sectPr>
          <w:pgSz w:w="11900" w:h="16838" w:orient="portrait"/>
          <w:cols w:equalWidth="0" w:num="1">
            <w:col w:w="9019"/>
          </w:cols>
          <w:pgMar w:left="1440" w:top="888"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863" w:right="1440" w:bottom="1440" w:gutter="0" w:footer="0" w:header="0"/>
        </w:sectPr>
      </w:pPr>
    </w:p>
    <w:bookmarkStart w:id="78" w:name="page79"/>
    <w:bookmarkEnd w:id="78"/>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EXHIBIT A TO AMENDMENT NO. </w:t>
      </w:r>
      <w:r>
        <w:rPr>
          <w:rFonts w:ascii="Times New Roman" w:cs="Times New Roman" w:eastAsia="Times New Roman" w:hAnsi="Times New Roman"/>
          <w:sz w:val="18"/>
          <w:szCs w:val="18"/>
          <w:b w:val="1"/>
          <w:bCs w:val="1"/>
          <w:i w:val="1"/>
          <w:iCs w:val="1"/>
          <w:color w:val="FF0000"/>
          <w:strike w:val="1"/>
        </w:rPr>
        <w:t>1</w:t>
      </w:r>
      <w:r>
        <w:rPr>
          <w:rFonts w:ascii="Times New Roman" w:cs="Times New Roman" w:eastAsia="Times New Roman" w:hAnsi="Times New Roman"/>
          <w:sz w:val="18"/>
          <w:szCs w:val="18"/>
          <w:b w:val="1"/>
          <w:bCs w:val="1"/>
          <w:i w:val="1"/>
          <w:iCs w:val="1"/>
          <w:u w:val="single" w:color="auto"/>
          <w:color w:val="0000FF"/>
        </w:rPr>
        <w:t>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Deal CUSIP: 87603BAC7</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Revolver CUSIP: 87603BAD5</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 Loan CUSIP: 87603BAE3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dated as of</w:t>
      </w:r>
    </w:p>
    <w:p>
      <w:pPr>
        <w:spacing w:after="0" w:line="23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May 11, 2022</w:t>
      </w:r>
    </w:p>
    <w:p>
      <w:pPr>
        <w:spacing w:after="0" w:line="23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among</w:t>
      </w:r>
    </w:p>
    <w:p>
      <w:pPr>
        <w:spacing w:after="0" w:line="22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TAPESTRY, INC.</w:t>
      </w: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Foreign Subsidiary Borrowers Party Hereto</w:t>
      </w:r>
    </w:p>
    <w:p>
      <w:pPr>
        <w:spacing w:after="0" w:line="200" w:lineRule="exact"/>
        <w:rPr>
          <w:sz w:val="20"/>
          <w:szCs w:val="20"/>
          <w:color w:val="auto"/>
        </w:rPr>
      </w:pPr>
    </w:p>
    <w:p>
      <w:pPr>
        <w:spacing w:after="0" w:line="24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3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JPMORGAN CHASE BANK, N.A. and HSBC BANK USA, N.A.,</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and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MORGAN STANLEY SENIOR FUNDING, INC., TD BANK, N.A., U.S. BANK NATIONAL ASSOCIATION and</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JPMORGAN CHASE BANK, N.A. and HSBC SECURITIES (USA), INC.</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465455</wp:posOffset>
            </wp:positionV>
            <wp:extent cx="70904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090410" cy="7620"/>
                    </a:xfrm>
                    <a:prstGeom prst="rect">
                      <a:avLst/>
                    </a:prstGeom>
                    <a:noFill/>
                  </pic:spPr>
                </pic:pic>
              </a:graphicData>
            </a:graphic>
          </wp:anchor>
        </w:drawing>
      </w:r>
    </w:p>
    <w:p>
      <w:pPr>
        <w:sectPr>
          <w:pgSz w:w="11900" w:h="16838" w:orient="portrait"/>
          <w:cols w:equalWidth="0" w:num="1">
            <w:col w:w="10540"/>
          </w:cols>
          <w:pgMar w:left="1040" w:top="1293"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Table Of Contents</w:t>
            </w:r>
          </w:p>
        </w:tc>
        <w:tc>
          <w:tcPr>
            <w:tcW w:w="0" w:type="dxa"/>
            <w:vAlign w:val="bottom"/>
          </w:tcPr>
          <w:p>
            <w:pPr>
              <w:spacing w:after="0"/>
              <w:rPr>
                <w:sz w:val="1"/>
                <w:szCs w:val="1"/>
                <w:color w:val="auto"/>
              </w:rPr>
            </w:pPr>
          </w:p>
        </w:tc>
      </w:tr>
      <w:tr>
        <w:trPr>
          <w:trHeight w:val="422"/>
        </w:trPr>
        <w:tc>
          <w:tcPr>
            <w:tcW w:w="4960" w:type="dxa"/>
            <w:vAlign w:val="bottom"/>
            <w:gridSpan w:val="46"/>
          </w:tcPr>
          <w:p>
            <w:pPr>
              <w:spacing w:after="0"/>
              <w:rPr>
                <w:sz w:val="24"/>
                <w:szCs w:val="24"/>
                <w:color w:val="auto"/>
              </w:rPr>
            </w:pPr>
          </w:p>
        </w:tc>
        <w:tc>
          <w:tcPr>
            <w:tcW w:w="1320" w:type="dxa"/>
            <w:vAlign w:val="bottom"/>
            <w:tcBorders>
              <w:top w:val="single" w:sz="8" w:color="auto"/>
            </w:tcBorders>
            <w:gridSpan w:val="16"/>
          </w:tcPr>
          <w:p>
            <w:pPr>
              <w:spacing w:after="0"/>
              <w:rPr>
                <w:sz w:val="24"/>
                <w:szCs w:val="24"/>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09"/>
        </w:trPr>
        <w:tc>
          <w:tcPr>
            <w:tcW w:w="10900" w:type="dxa"/>
            <w:vAlign w:val="bottom"/>
            <w:gridSpan w:val="64"/>
          </w:tcPr>
          <w:p>
            <w:pPr>
              <w:spacing w:after="0"/>
              <w:rPr>
                <w:sz w:val="20"/>
                <w:szCs w:val="20"/>
                <w:color w:val="auto"/>
              </w:rPr>
            </w:pPr>
            <w:r>
              <w:rPr>
                <w:rFonts w:ascii="Times New Roman" w:cs="Times New Roman" w:eastAsia="Times New Roman" w:hAnsi="Times New Roman"/>
                <w:sz w:val="18"/>
                <w:szCs w:val="18"/>
                <w:color w:val="010000"/>
              </w:rPr>
              <w:t xml:space="preserve">ARTICLE I </w:t>
            </w:r>
            <w:r>
              <w:rPr>
                <w:rFonts w:ascii="Times New Roman" w:cs="Times New Roman" w:eastAsia="Times New Roman" w:hAnsi="Times New Roman"/>
                <w:sz w:val="18"/>
                <w:szCs w:val="18"/>
                <w:color w:val="000000"/>
              </w:rPr>
              <w:t>Definitions  1</w:t>
            </w: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auto"/>
            </w:tcBorders>
            <w:gridSpan w:val="3"/>
          </w:tcPr>
          <w:p>
            <w:pPr>
              <w:spacing w:after="0" w:line="20" w:lineRule="exact"/>
              <w:rPr>
                <w:sz w:val="1"/>
                <w:szCs w:val="1"/>
                <w:color w:val="auto"/>
              </w:rPr>
            </w:pPr>
          </w:p>
        </w:tc>
        <w:tc>
          <w:tcPr>
            <w:tcW w:w="9460" w:type="dxa"/>
            <w:vAlign w:val="bottom"/>
            <w:gridSpan w:val="6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1.01. </w:t>
            </w:r>
            <w:r>
              <w:rPr>
                <w:rFonts w:ascii="Times New Roman" w:cs="Times New Roman" w:eastAsia="Times New Roman" w:hAnsi="Times New Roman"/>
                <w:sz w:val="18"/>
                <w:szCs w:val="18"/>
                <w:color w:val="000000"/>
              </w:rPr>
              <w:t>DEFINED TERMS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right w:val="single" w:sz="8" w:color="auto"/>
            </w:tcBorders>
            <w:gridSpan w:val="1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520" w:type="dxa"/>
            <w:vAlign w:val="bottom"/>
            <w:tcBorders>
              <w:left w:val="single" w:sz="8" w:color="auto"/>
            </w:tcBorders>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20" w:type="dxa"/>
            <w:vAlign w:val="bottom"/>
            <w:gridSpan w:val="52"/>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1.02. </w:t>
            </w:r>
            <w:r>
              <w:rPr>
                <w:rFonts w:ascii="Times New Roman" w:cs="Times New Roman" w:eastAsia="Times New Roman" w:hAnsi="Times New Roman"/>
                <w:sz w:val="18"/>
                <w:szCs w:val="18"/>
                <w:color w:val="000000"/>
              </w:rPr>
              <w:t>CLASSIFICATION OF LOANS AND BORROWINGS</w:t>
            </w:r>
          </w:p>
        </w:tc>
        <w:tc>
          <w:tcPr>
            <w:tcW w:w="3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color w:val="000000"/>
              </w:rPr>
              <w:t>TERMS GENERALLY</w:t>
            </w:r>
          </w:p>
        </w:tc>
        <w:tc>
          <w:tcPr>
            <w:tcW w:w="34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auto"/>
            </w:tcBorders>
            <w:gridSpan w:val="17"/>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16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20" w:type="dxa"/>
            <w:vAlign w:val="bottom"/>
            <w:gridSpan w:val="52"/>
          </w:tcPr>
          <w:p>
            <w:pPr>
              <w:spacing w:after="0" w:line="201" w:lineRule="exact"/>
              <w:rPr>
                <w:sz w:val="20"/>
                <w:szCs w:val="20"/>
                <w:color w:val="auto"/>
              </w:rPr>
            </w:pPr>
            <w:r>
              <w:rPr>
                <w:rFonts w:ascii="Times New Roman" w:cs="Times New Roman" w:eastAsia="Times New Roman" w:hAnsi="Times New Roman"/>
                <w:sz w:val="18"/>
                <w:szCs w:val="18"/>
                <w:color w:val="010000"/>
                <w:w w:val="99"/>
              </w:rPr>
              <w:t xml:space="preserve">SECTION 1.04. </w:t>
            </w:r>
            <w:r>
              <w:rPr>
                <w:rFonts w:ascii="Times New Roman" w:cs="Times New Roman" w:eastAsia="Times New Roman" w:hAnsi="Times New Roman"/>
                <w:sz w:val="18"/>
                <w:szCs w:val="18"/>
                <w:color w:val="000000"/>
                <w:w w:val="99"/>
              </w:rPr>
              <w:t>ACCOUNTING TERMS; GAAP; EXCHANGE RATES</w:t>
            </w:r>
          </w:p>
        </w:tc>
        <w:tc>
          <w:tcPr>
            <w:tcW w:w="460" w:type="dxa"/>
            <w:vAlign w:val="bottom"/>
            <w:gridSpan w:val="4"/>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color w:val="000000"/>
              </w:rPr>
              <w:t>LLC DIVISION/SERIES TRANSACTIONS  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1.06. </w:t>
            </w:r>
            <w:r>
              <w:rPr>
                <w:rFonts w:ascii="Times New Roman" w:cs="Times New Roman" w:eastAsia="Times New Roman" w:hAnsi="Times New Roman"/>
                <w:sz w:val="18"/>
                <w:szCs w:val="18"/>
                <w:color w:val="000000"/>
              </w:rPr>
              <w:t>INTEREST RATES  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gridSpan w:val="14"/>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2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43"/>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1.07. </w:t>
            </w:r>
            <w:r>
              <w:rPr>
                <w:rFonts w:ascii="Times New Roman" w:cs="Times New Roman" w:eastAsia="Times New Roman" w:hAnsi="Times New Roman"/>
                <w:sz w:val="18"/>
                <w:szCs w:val="18"/>
                <w:color w:val="000000"/>
              </w:rPr>
              <w:t>ADDITIONAL ALTERNATIVE CURRENCIES</w:t>
            </w:r>
          </w:p>
        </w:tc>
        <w:tc>
          <w:tcPr>
            <w:tcW w:w="300" w:type="dxa"/>
            <w:vAlign w:val="bottom"/>
            <w:gridSpan w:val="5"/>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ARTICLE II </w:t>
            </w:r>
            <w:r>
              <w:rPr>
                <w:rFonts w:ascii="Times New Roman" w:cs="Times New Roman" w:eastAsia="Times New Roman" w:hAnsi="Times New Roman"/>
                <w:sz w:val="18"/>
                <w:szCs w:val="18"/>
                <w:color w:val="000000"/>
              </w:rPr>
              <w:t>The Credits  38</w:t>
            </w:r>
          </w:p>
        </w:tc>
        <w:tc>
          <w:tcPr>
            <w:tcW w:w="180" w:type="dxa"/>
            <w:vAlign w:val="bottom"/>
            <w:tcBorders>
              <w:top w:val="single" w:sz="8" w:color="auto"/>
            </w:tcBorders>
            <w:gridSpan w:val="3"/>
          </w:tcPr>
          <w:p>
            <w:pPr>
              <w:spacing w:after="0"/>
              <w:rPr>
                <w:sz w:val="16"/>
                <w:szCs w:val="16"/>
                <w:color w:val="auto"/>
              </w:rPr>
            </w:pPr>
          </w:p>
        </w:tc>
        <w:tc>
          <w:tcPr>
            <w:tcW w:w="63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auto"/>
            </w:tcBorders>
            <w:gridSpan w:val="3"/>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300" w:type="dxa"/>
            <w:vAlign w:val="bottom"/>
            <w:tcBorders>
              <w:left w:val="single" w:sz="8" w:color="auto"/>
            </w:tcBorders>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color w:val="000000"/>
              </w:rPr>
              <w:t>COMMITMENTS  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60" w:type="dxa"/>
            <w:vAlign w:val="bottom"/>
            <w:gridSpan w:val="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2.02. </w:t>
            </w:r>
            <w:r>
              <w:rPr>
                <w:rFonts w:ascii="Times New Roman" w:cs="Times New Roman" w:eastAsia="Times New Roman" w:hAnsi="Times New Roman"/>
                <w:sz w:val="18"/>
                <w:szCs w:val="18"/>
                <w:color w:val="000000"/>
              </w:rPr>
              <w:t>LOANS AND BORROWINGS  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right w:val="single" w:sz="8" w:color="auto"/>
            </w:tcBorders>
            <w:gridSpan w:val="24"/>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758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2.03. </w:t>
            </w:r>
            <w:r>
              <w:rPr>
                <w:rFonts w:ascii="Times New Roman" w:cs="Times New Roman" w:eastAsia="Times New Roman" w:hAnsi="Times New Roman"/>
                <w:sz w:val="18"/>
                <w:szCs w:val="18"/>
                <w:color w:val="000000"/>
              </w:rPr>
              <w:t>REQUESTS FOR BORROWINGS  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43"/>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2.04. </w:t>
            </w:r>
            <w:r>
              <w:rPr>
                <w:rFonts w:ascii="Times New Roman" w:cs="Times New Roman" w:eastAsia="Times New Roman" w:hAnsi="Times New Roman"/>
                <w:sz w:val="18"/>
                <w:szCs w:val="18"/>
                <w:color w:val="000000"/>
              </w:rPr>
              <w:t>DETERMINATION OF DOLLAR AMOUNTS</w:t>
            </w:r>
          </w:p>
        </w:tc>
        <w:tc>
          <w:tcPr>
            <w:tcW w:w="300" w:type="dxa"/>
            <w:vAlign w:val="bottom"/>
            <w:gridSpan w:val="5"/>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w w:val="88"/>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10000"/>
                <w:w w:val="99"/>
              </w:rPr>
              <w:t xml:space="preserve">SECTION 2.05. </w:t>
            </w:r>
            <w:r>
              <w:rPr>
                <w:rFonts w:ascii="Times New Roman" w:cs="Times New Roman" w:eastAsia="Times New Roman" w:hAnsi="Times New Roman"/>
                <w:sz w:val="18"/>
                <w:szCs w:val="18"/>
                <w:color w:val="000000"/>
                <w:w w:val="99"/>
              </w:rPr>
              <w:t>SWINGLINE LOANS</w:t>
            </w:r>
          </w:p>
        </w:tc>
        <w:tc>
          <w:tcPr>
            <w:tcW w:w="140" w:type="dxa"/>
            <w:vAlign w:val="bottom"/>
          </w:tcPr>
          <w:p>
            <w:pPr>
              <w:spacing w:after="0"/>
              <w:rPr>
                <w:sz w:val="16"/>
                <w:szCs w:val="16"/>
                <w:color w:val="auto"/>
              </w:rPr>
            </w:pPr>
          </w:p>
        </w:tc>
        <w:tc>
          <w:tcPr>
            <w:tcW w:w="2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auto"/>
            </w:tcBorders>
            <w:gridSpan w:val="17"/>
          </w:tcPr>
          <w:p>
            <w:pPr>
              <w:spacing w:after="0" w:line="20" w:lineRule="exact"/>
              <w:rPr>
                <w:sz w:val="1"/>
                <w:szCs w:val="1"/>
                <w:color w:val="auto"/>
              </w:rPr>
            </w:pPr>
          </w:p>
        </w:tc>
        <w:tc>
          <w:tcPr>
            <w:tcW w:w="8260" w:type="dxa"/>
            <w:vAlign w:val="bottom"/>
            <w:tcBorders>
              <w:left w:val="single" w:sz="8" w:color="auto"/>
            </w:tcBorders>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2.06. </w:t>
            </w:r>
            <w:r>
              <w:rPr>
                <w:rFonts w:ascii="Times New Roman" w:cs="Times New Roman" w:eastAsia="Times New Roman" w:hAnsi="Times New Roman"/>
                <w:sz w:val="18"/>
                <w:szCs w:val="18"/>
                <w:color w:val="000000"/>
              </w:rPr>
              <w:t>LETTERS OF CREDIT</w:t>
            </w:r>
          </w:p>
        </w:tc>
        <w:tc>
          <w:tcPr>
            <w:tcW w:w="120" w:type="dxa"/>
            <w:vAlign w:val="bottom"/>
            <w:tcBorders>
              <w:bottom w:val="single" w:sz="8" w:color="auto"/>
            </w:tcBorders>
            <w:gridSpan w:val="2"/>
          </w:tcPr>
          <w:p>
            <w:pPr>
              <w:spacing w:after="0"/>
              <w:rPr>
                <w:sz w:val="17"/>
                <w:szCs w:val="17"/>
                <w:color w:val="auto"/>
              </w:rPr>
            </w:pPr>
          </w:p>
        </w:tc>
        <w:tc>
          <w:tcPr>
            <w:tcW w:w="220" w:type="dxa"/>
            <w:vAlign w:val="bottom"/>
            <w:gridSpan w:val="3"/>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w w:val="88"/>
              </w:rPr>
              <w:t>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2.07. </w:t>
            </w:r>
            <w:r>
              <w:rPr>
                <w:rFonts w:ascii="Times New Roman" w:cs="Times New Roman" w:eastAsia="Times New Roman" w:hAnsi="Times New Roman"/>
                <w:sz w:val="18"/>
                <w:szCs w:val="18"/>
                <w:color w:val="000000"/>
              </w:rPr>
              <w:t>FUNDING OF BORROWINGS  47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40" w:type="dxa"/>
            <w:vAlign w:val="bottom"/>
            <w:gridSpan w:val="24"/>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2.08. </w:t>
            </w:r>
            <w:r>
              <w:rPr>
                <w:rFonts w:ascii="Times New Roman" w:cs="Times New Roman" w:eastAsia="Times New Roman" w:hAnsi="Times New Roman"/>
                <w:sz w:val="18"/>
                <w:szCs w:val="18"/>
                <w:color w:val="000000"/>
              </w:rPr>
              <w:t>INTEREST ELECTIONS  47</w:t>
            </w:r>
          </w:p>
        </w:tc>
        <w:tc>
          <w:tcPr>
            <w:tcW w:w="180" w:type="dxa"/>
            <w:vAlign w:val="bottom"/>
            <w:tcBorders>
              <w:top w:val="single" w:sz="8" w:color="auto"/>
            </w:tcBorders>
            <w:gridSpan w:val="3"/>
          </w:tcPr>
          <w:p>
            <w:pPr>
              <w:spacing w:after="0"/>
              <w:rPr>
                <w:sz w:val="17"/>
                <w:szCs w:val="17"/>
                <w:color w:val="auto"/>
              </w:rPr>
            </w:pPr>
          </w:p>
        </w:tc>
        <w:tc>
          <w:tcPr>
            <w:tcW w:w="4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00" w:type="dxa"/>
            <w:vAlign w:val="bottom"/>
            <w:gridSpan w:val="60"/>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2.09. </w:t>
            </w:r>
            <w:r>
              <w:rPr>
                <w:rFonts w:ascii="Times New Roman" w:cs="Times New Roman" w:eastAsia="Times New Roman" w:hAnsi="Times New Roman"/>
                <w:sz w:val="18"/>
                <w:szCs w:val="18"/>
                <w:color w:val="000000"/>
              </w:rPr>
              <w:t>TERMINATION AND REDUCTION OF COMMITMENTS  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55"/>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color w:val="000000"/>
              </w:rPr>
              <w:t>REPAYMENT OF LOANS; EVIDENCE OF DEBT  50</w:t>
            </w:r>
          </w:p>
        </w:tc>
        <w:tc>
          <w:tcPr>
            <w:tcW w:w="180" w:type="dxa"/>
            <w:vAlign w:val="bottom"/>
            <w:tcBorders>
              <w:top w:val="single" w:sz="8" w:color="auto"/>
            </w:tcBorders>
            <w:gridSpan w:val="2"/>
          </w:tcPr>
          <w:p>
            <w:pPr>
              <w:spacing w:after="0"/>
              <w:rPr>
                <w:sz w:val="16"/>
                <w:szCs w:val="16"/>
                <w:color w:val="auto"/>
              </w:rPr>
            </w:pPr>
          </w:p>
        </w:tc>
        <w:tc>
          <w:tcPr>
            <w:tcW w:w="4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2.11. </w:t>
            </w:r>
            <w:r>
              <w:rPr>
                <w:rFonts w:ascii="Times New Roman" w:cs="Times New Roman" w:eastAsia="Times New Roman" w:hAnsi="Times New Roman"/>
                <w:sz w:val="18"/>
                <w:szCs w:val="18"/>
                <w:color w:val="000000"/>
              </w:rPr>
              <w:t>PREPAYMENT OF LOANS  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color w:val="000000"/>
              </w:rPr>
              <w:t>FEES  52</w:t>
            </w:r>
          </w:p>
        </w:tc>
        <w:tc>
          <w:tcPr>
            <w:tcW w:w="200" w:type="dxa"/>
            <w:vAlign w:val="bottom"/>
            <w:tcBorders>
              <w:top w:val="single" w:sz="8" w:color="auto"/>
            </w:tcBorders>
            <w:gridSpan w:val="2"/>
          </w:tcPr>
          <w:p>
            <w:pPr>
              <w:spacing w:after="0"/>
              <w:rPr>
                <w:sz w:val="16"/>
                <w:szCs w:val="16"/>
                <w:color w:val="auto"/>
              </w:rPr>
            </w:pPr>
          </w:p>
        </w:tc>
        <w:tc>
          <w:tcPr>
            <w:tcW w:w="7800" w:type="dxa"/>
            <w:vAlign w:val="bottom"/>
            <w:gridSpan w:val="4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auto"/>
            </w:tcBorders>
            <w:gridSpan w:val="3"/>
          </w:tcPr>
          <w:p>
            <w:pPr>
              <w:spacing w:after="0" w:line="20" w:lineRule="exact"/>
              <w:rPr>
                <w:sz w:val="1"/>
                <w:szCs w:val="1"/>
                <w:color w:val="auto"/>
              </w:rPr>
            </w:pPr>
          </w:p>
        </w:tc>
        <w:tc>
          <w:tcPr>
            <w:tcW w:w="9460" w:type="dxa"/>
            <w:vAlign w:val="bottom"/>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010000"/>
                <w:w w:val="99"/>
              </w:rPr>
              <w:t xml:space="preserve">SECTION 2.13. </w:t>
            </w:r>
            <w:r>
              <w:rPr>
                <w:rFonts w:ascii="Times New Roman" w:cs="Times New Roman" w:eastAsia="Times New Roman" w:hAnsi="Times New Roman"/>
                <w:sz w:val="18"/>
                <w:szCs w:val="18"/>
                <w:color w:val="000000"/>
                <w:w w:val="99"/>
              </w:rPr>
              <w:t>INTEREST</w:t>
            </w:r>
          </w:p>
        </w:tc>
        <w:tc>
          <w:tcPr>
            <w:tcW w:w="9060" w:type="dxa"/>
            <w:vAlign w:val="bottom"/>
            <w:gridSpan w:val="59"/>
          </w:tcPr>
          <w:p>
            <w:pPr>
              <w:jc w:val="right"/>
              <w:ind w:right="8840"/>
              <w:spacing w:after="0" w:line="201"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2.14. </w:t>
            </w:r>
            <w:r>
              <w:rPr>
                <w:rFonts w:ascii="Times New Roman" w:cs="Times New Roman" w:eastAsia="Times New Roman" w:hAnsi="Times New Roman"/>
                <w:sz w:val="18"/>
                <w:szCs w:val="18"/>
                <w:color w:val="000000"/>
              </w:rPr>
              <w:t>(A) INABILITY TO DETERMINE RATES  54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2.15. </w:t>
            </w:r>
            <w:r>
              <w:rPr>
                <w:rFonts w:ascii="Times New Roman" w:cs="Times New Roman" w:eastAsia="Times New Roman" w:hAnsi="Times New Roman"/>
                <w:sz w:val="18"/>
                <w:szCs w:val="18"/>
                <w:color w:val="000000"/>
              </w:rPr>
              <w:t>INCREASED COSTS</w:t>
            </w:r>
          </w:p>
        </w:tc>
        <w:tc>
          <w:tcPr>
            <w:tcW w:w="260" w:type="dxa"/>
            <w:vAlign w:val="bottom"/>
            <w:gridSpan w:val="4"/>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w w:val="88"/>
              </w:rPr>
              <w:t>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auto"/>
            </w:tcBorders>
            <w:gridSpan w:val="4"/>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2.16. </w:t>
            </w:r>
            <w:r>
              <w:rPr>
                <w:rFonts w:ascii="Times New Roman" w:cs="Times New Roman" w:eastAsia="Times New Roman" w:hAnsi="Times New Roman"/>
                <w:sz w:val="18"/>
                <w:szCs w:val="18"/>
                <w:color w:val="000000"/>
              </w:rPr>
              <w:t>BREAK FUNDING PAYMENTS  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2.17. </w:t>
            </w:r>
            <w:r>
              <w:rPr>
                <w:rFonts w:ascii="Times New Roman" w:cs="Times New Roman" w:eastAsia="Times New Roman" w:hAnsi="Times New Roman"/>
                <w:sz w:val="18"/>
                <w:szCs w:val="18"/>
                <w:color w:val="000000"/>
              </w:rPr>
              <w:t>TAXES  58</w:t>
            </w:r>
          </w:p>
        </w:tc>
        <w:tc>
          <w:tcPr>
            <w:tcW w:w="160" w:type="dxa"/>
            <w:vAlign w:val="bottom"/>
            <w:tcBorders>
              <w:top w:val="single" w:sz="8" w:color="auto"/>
            </w:tcBorders>
            <w:gridSpan w:val="2"/>
          </w:tcPr>
          <w:p>
            <w:pPr>
              <w:spacing w:after="0"/>
              <w:rPr>
                <w:sz w:val="16"/>
                <w:szCs w:val="16"/>
                <w:color w:val="auto"/>
              </w:rPr>
            </w:pPr>
          </w:p>
        </w:tc>
        <w:tc>
          <w:tcPr>
            <w:tcW w:w="7420" w:type="dxa"/>
            <w:vAlign w:val="bottom"/>
            <w:gridSpan w:val="3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auto"/>
            </w:tcBorders>
            <w:gridSpan w:val="3"/>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260" w:type="dxa"/>
            <w:vAlign w:val="bottom"/>
            <w:gridSpan w:val="66"/>
          </w:tcPr>
          <w:p>
            <w:pPr>
              <w:spacing w:after="0"/>
              <w:rPr>
                <w:sz w:val="20"/>
                <w:szCs w:val="20"/>
                <w:color w:val="auto"/>
              </w:rPr>
            </w:pPr>
            <w:r>
              <w:rPr>
                <w:rFonts w:ascii="Times New Roman" w:cs="Times New Roman" w:eastAsia="Times New Roman" w:hAnsi="Times New Roman"/>
                <w:sz w:val="18"/>
                <w:szCs w:val="18"/>
                <w:color w:val="010000"/>
              </w:rPr>
              <w:t xml:space="preserve">SECTION 2.18. </w:t>
            </w:r>
            <w:r>
              <w:rPr>
                <w:rFonts w:ascii="Times New Roman" w:cs="Times New Roman" w:eastAsia="Times New Roman" w:hAnsi="Times New Roman"/>
                <w:sz w:val="18"/>
                <w:szCs w:val="18"/>
                <w:color w:val="000000"/>
              </w:rPr>
              <w:t>PAYMENTS GENERALLY; PRO RATA TREATMENT; SHARING OF</w:t>
            </w:r>
          </w:p>
        </w:tc>
        <w:tc>
          <w:tcPr>
            <w:tcW w:w="0" w:type="dxa"/>
            <w:vAlign w:val="bottom"/>
          </w:tcPr>
          <w:p>
            <w:pPr>
              <w:spacing w:after="0"/>
              <w:rPr>
                <w:sz w:val="1"/>
                <w:szCs w:val="1"/>
                <w:color w:val="auto"/>
              </w:rPr>
            </w:pPr>
          </w:p>
        </w:tc>
      </w:tr>
      <w:tr>
        <w:trPr>
          <w:trHeight w:val="193"/>
        </w:trPr>
        <w:tc>
          <w:tcPr>
            <w:tcW w:w="2200" w:type="dxa"/>
            <w:vAlign w:val="bottom"/>
            <w:gridSpan w:val="7"/>
          </w:tcPr>
          <w:p>
            <w:pPr>
              <w:ind w:left="1180"/>
              <w:spacing w:after="0" w:line="193" w:lineRule="exact"/>
              <w:rPr>
                <w:sz w:val="20"/>
                <w:szCs w:val="20"/>
                <w:color w:val="auto"/>
              </w:rPr>
            </w:pPr>
            <w:r>
              <w:rPr>
                <w:rFonts w:ascii="Times New Roman" w:cs="Times New Roman" w:eastAsia="Times New Roman" w:hAnsi="Times New Roman"/>
                <w:sz w:val="18"/>
                <w:szCs w:val="18"/>
                <w:color w:val="auto"/>
              </w:rPr>
              <w:t>SET-OFFS</w:t>
            </w:r>
          </w:p>
        </w:tc>
        <w:tc>
          <w:tcPr>
            <w:tcW w:w="9060" w:type="dxa"/>
            <w:vAlign w:val="bottom"/>
            <w:gridSpan w:val="59"/>
          </w:tcPr>
          <w:p>
            <w:pPr>
              <w:jc w:val="right"/>
              <w:ind w:right="8880"/>
              <w:spacing w:after="0" w:line="193" w:lineRule="exact"/>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20"/>
        </w:trPr>
        <w:tc>
          <w:tcPr>
            <w:tcW w:w="1960" w:type="dxa"/>
            <w:vAlign w:val="bottom"/>
            <w:gridSpan w:val="5"/>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00" w:type="dxa"/>
            <w:vAlign w:val="bottom"/>
            <w:gridSpan w:val="60"/>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2.19. </w:t>
            </w:r>
            <w:r>
              <w:rPr>
                <w:rFonts w:ascii="Times New Roman" w:cs="Times New Roman" w:eastAsia="Times New Roman" w:hAnsi="Times New Roman"/>
                <w:sz w:val="18"/>
                <w:szCs w:val="18"/>
                <w:color w:val="000000"/>
              </w:rPr>
              <w:t>MITIGATION OBLIGATIONS; REPLACEMENT OF LENDERS</w:t>
            </w:r>
          </w:p>
        </w:tc>
        <w:tc>
          <w:tcPr>
            <w:tcW w:w="4700" w:type="dxa"/>
            <w:vAlign w:val="bottom"/>
            <w:gridSpan w:val="4"/>
          </w:tcPr>
          <w:p>
            <w:pPr>
              <w:jc w:val="right"/>
              <w:ind w:right="4500"/>
              <w:spacing w:after="0" w:line="201" w:lineRule="exact"/>
              <w:rPr>
                <w:sz w:val="20"/>
                <w:szCs w:val="20"/>
                <w:color w:val="auto"/>
              </w:rPr>
            </w:pPr>
            <w:r>
              <w:rPr>
                <w:rFonts w:ascii="Times New Roman" w:cs="Times New Roman" w:eastAsia="Times New Roman" w:hAnsi="Times New Roman"/>
                <w:sz w:val="18"/>
                <w:szCs w:val="18"/>
                <w:color w:val="auto"/>
                <w:w w:val="99"/>
              </w:rPr>
              <w:t>64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2.20. </w:t>
            </w:r>
            <w:r>
              <w:rPr>
                <w:rFonts w:ascii="Times New Roman" w:cs="Times New Roman" w:eastAsia="Times New Roman" w:hAnsi="Times New Roman"/>
                <w:sz w:val="18"/>
                <w:szCs w:val="18"/>
                <w:color w:val="000000"/>
              </w:rPr>
              <w:t>EXPANSION OPTION</w:t>
            </w:r>
          </w:p>
        </w:tc>
        <w:tc>
          <w:tcPr>
            <w:tcW w:w="340" w:type="dxa"/>
            <w:vAlign w:val="bottom"/>
            <w:gridSpan w:val="5"/>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Borders>
              <w:right w:val="single" w:sz="8" w:color="auto"/>
            </w:tcBorders>
            <w:gridSpan w:val="6"/>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2.21. </w:t>
            </w:r>
            <w:r>
              <w:rPr>
                <w:rFonts w:ascii="Times New Roman" w:cs="Times New Roman" w:eastAsia="Times New Roman" w:hAnsi="Times New Roman"/>
                <w:sz w:val="18"/>
                <w:szCs w:val="18"/>
                <w:color w:val="000000"/>
              </w:rPr>
              <w:t>[INTENTIONALLY OMITTED]  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2.22. </w:t>
            </w:r>
            <w:r>
              <w:rPr>
                <w:rFonts w:ascii="Times New Roman" w:cs="Times New Roman" w:eastAsia="Times New Roman" w:hAnsi="Times New Roman"/>
                <w:sz w:val="18"/>
                <w:szCs w:val="18"/>
                <w:color w:val="000000"/>
              </w:rPr>
              <w:t>JUDGMENT CURRENCY  66</w:t>
            </w:r>
          </w:p>
        </w:tc>
        <w:tc>
          <w:tcPr>
            <w:tcW w:w="220" w:type="dxa"/>
            <w:vAlign w:val="bottom"/>
            <w:tcBorders>
              <w:top w:val="single" w:sz="8" w:color="auto"/>
            </w:tcBorders>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gridSpan w:val="60"/>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2.23. </w:t>
            </w:r>
            <w:r>
              <w:rPr>
                <w:rFonts w:ascii="Times New Roman" w:cs="Times New Roman" w:eastAsia="Times New Roman" w:hAnsi="Times New Roman"/>
                <w:sz w:val="18"/>
                <w:szCs w:val="18"/>
                <w:color w:val="000000"/>
              </w:rPr>
              <w:t>DESIGNATION OF FOREIGN SUBSIDIARY BORROWERS  66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2.24. </w:t>
            </w:r>
            <w:r>
              <w:rPr>
                <w:rFonts w:ascii="Times New Roman" w:cs="Times New Roman" w:eastAsia="Times New Roman" w:hAnsi="Times New Roman"/>
                <w:sz w:val="18"/>
                <w:szCs w:val="18"/>
                <w:color w:val="000000"/>
              </w:rPr>
              <w:t>DEFAULTING LENDERS  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2.25. </w:t>
            </w:r>
            <w:r>
              <w:rPr>
                <w:rFonts w:ascii="Times New Roman" w:cs="Times New Roman" w:eastAsia="Times New Roman" w:hAnsi="Times New Roman"/>
                <w:sz w:val="18"/>
                <w:szCs w:val="18"/>
                <w:color w:val="000000"/>
              </w:rPr>
              <w:t>EXTENSION OF MATURITY DATE</w:t>
            </w:r>
          </w:p>
        </w:tc>
        <w:tc>
          <w:tcPr>
            <w:tcW w:w="240" w:type="dxa"/>
            <w:vAlign w:val="bottom"/>
            <w:gridSpan w:val="4"/>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w w:val="88"/>
              </w:rPr>
              <w:t>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auto"/>
            </w:tcBorders>
            <w:gridSpan w:val="7"/>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10000"/>
                <w:w w:val="98"/>
              </w:rPr>
              <w:t xml:space="preserve">SECTION 2.26. </w:t>
            </w:r>
            <w:r>
              <w:rPr>
                <w:rFonts w:ascii="Times New Roman" w:cs="Times New Roman" w:eastAsia="Times New Roman" w:hAnsi="Times New Roman"/>
                <w:sz w:val="18"/>
                <w:szCs w:val="18"/>
                <w:color w:val="000000"/>
                <w:w w:val="98"/>
              </w:rPr>
              <w:t>SUSTAINABILITY ADJUSTMENTS</w:t>
            </w:r>
          </w:p>
        </w:tc>
        <w:tc>
          <w:tcPr>
            <w:tcW w:w="140" w:type="dxa"/>
            <w:vAlign w:val="bottom"/>
          </w:tcPr>
          <w:p>
            <w:pPr>
              <w:spacing w:after="0"/>
              <w:rPr>
                <w:sz w:val="16"/>
                <w:szCs w:val="16"/>
                <w:color w:val="auto"/>
              </w:rPr>
            </w:pPr>
          </w:p>
        </w:tc>
        <w:tc>
          <w:tcPr>
            <w:tcW w:w="2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0" w:type="dxa"/>
            <w:vAlign w:val="bottom"/>
            <w:gridSpan w:val="30"/>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ARTICLE III </w:t>
            </w:r>
            <w:r>
              <w:rPr>
                <w:rFonts w:ascii="Times New Roman" w:cs="Times New Roman" w:eastAsia="Times New Roman" w:hAnsi="Times New Roman"/>
                <w:sz w:val="18"/>
                <w:szCs w:val="18"/>
                <w:color w:val="000000"/>
              </w:rPr>
              <w:t>Representations and Warranties  71</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tcBorders>
              <w:right w:val="single" w:sz="8" w:color="auto"/>
            </w:tcBorders>
            <w:gridSpan w:val="11"/>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10000"/>
                <w:w w:val="99"/>
              </w:rPr>
              <w:t xml:space="preserve">SECTION 3.01. </w:t>
            </w:r>
            <w:r>
              <w:rPr>
                <w:rFonts w:ascii="Times New Roman" w:cs="Times New Roman" w:eastAsia="Times New Roman" w:hAnsi="Times New Roman"/>
                <w:sz w:val="18"/>
                <w:szCs w:val="18"/>
                <w:color w:val="000000"/>
                <w:w w:val="99"/>
              </w:rPr>
              <w:t>ORGANIZATION; POWERS; SUBSIDIARIES</w:t>
            </w:r>
          </w:p>
        </w:tc>
        <w:tc>
          <w:tcPr>
            <w:tcW w:w="140" w:type="dxa"/>
            <w:vAlign w:val="bottom"/>
            <w:gridSpan w:val="2"/>
          </w:tcPr>
          <w:p>
            <w:pPr>
              <w:spacing w:after="0"/>
              <w:rPr>
                <w:sz w:val="16"/>
                <w:szCs w:val="16"/>
                <w:color w:val="auto"/>
              </w:rPr>
            </w:pPr>
          </w:p>
        </w:tc>
        <w:tc>
          <w:tcPr>
            <w:tcW w:w="3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00" w:type="dxa"/>
            <w:vAlign w:val="bottom"/>
            <w:gridSpan w:val="4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3.02. </w:t>
            </w:r>
            <w:r>
              <w:rPr>
                <w:rFonts w:ascii="Times New Roman" w:cs="Times New Roman" w:eastAsia="Times New Roman" w:hAnsi="Times New Roman"/>
                <w:sz w:val="18"/>
                <w:szCs w:val="18"/>
                <w:color w:val="000000"/>
              </w:rPr>
              <w:t>AUTHORIZATION; ENFORCEABILITY  71</w:t>
            </w:r>
          </w:p>
        </w:tc>
        <w:tc>
          <w:tcPr>
            <w:tcW w:w="14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20" w:type="dxa"/>
            <w:vAlign w:val="bottom"/>
            <w:gridSpan w:val="52"/>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3.03. </w:t>
            </w:r>
            <w:r>
              <w:rPr>
                <w:rFonts w:ascii="Times New Roman" w:cs="Times New Roman" w:eastAsia="Times New Roman" w:hAnsi="Times New Roman"/>
                <w:sz w:val="18"/>
                <w:szCs w:val="18"/>
                <w:color w:val="000000"/>
              </w:rPr>
              <w:t>GOVERNMENTAL APPROVALS; NO CONFLICTS</w:t>
            </w:r>
          </w:p>
        </w:tc>
        <w:tc>
          <w:tcPr>
            <w:tcW w:w="300" w:type="dxa"/>
            <w:vAlign w:val="bottom"/>
            <w:gridSpan w:val="3"/>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w w:val="88"/>
              </w:rPr>
              <w:t>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gridSpan w:val="4"/>
            <w:vMerge w:val="restart"/>
          </w:tcPr>
          <w:p>
            <w:pPr>
              <w:jc w:val="right"/>
              <w:ind w:right="434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16"/>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4700" w:type="dxa"/>
            <w:vAlign w:val="bottom"/>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gridSpan w:val="60"/>
          </w:tcPr>
          <w:p>
            <w:pPr>
              <w:spacing w:after="0" w:line="189" w:lineRule="exact"/>
              <w:rPr>
                <w:sz w:val="20"/>
                <w:szCs w:val="20"/>
                <w:color w:val="auto"/>
              </w:rPr>
            </w:pPr>
            <w:r>
              <w:rPr>
                <w:rFonts w:ascii="Times New Roman" w:cs="Times New Roman" w:eastAsia="Times New Roman" w:hAnsi="Times New Roman"/>
                <w:sz w:val="18"/>
                <w:szCs w:val="18"/>
                <w:color w:val="010000"/>
                <w:w w:val="99"/>
              </w:rPr>
              <w:t xml:space="preserve">SECTION 3.04. </w:t>
            </w:r>
            <w:r>
              <w:rPr>
                <w:rFonts w:ascii="Times New Roman" w:cs="Times New Roman" w:eastAsia="Times New Roman" w:hAnsi="Times New Roman"/>
                <w:sz w:val="18"/>
                <w:szCs w:val="18"/>
                <w:color w:val="000000"/>
                <w:w w:val="99"/>
              </w:rPr>
              <w:t>FINANCIAL CONDITION; NO MATERIAL ADVERSE CHANGE</w:t>
            </w:r>
          </w:p>
        </w:tc>
        <w:tc>
          <w:tcPr>
            <w:tcW w:w="47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80" w:type="dxa"/>
            <w:vAlign w:val="bottom"/>
            <w:gridSpan w:val="10"/>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SECTION 3.05. </w:t>
            </w:r>
            <w:r>
              <w:rPr>
                <w:rFonts w:ascii="Times New Roman" w:cs="Times New Roman" w:eastAsia="Times New Roman" w:hAnsi="Times New Roman"/>
                <w:sz w:val="18"/>
                <w:szCs w:val="18"/>
                <w:color w:val="000000"/>
                <w:w w:val="98"/>
              </w:rPr>
              <w:t>PROPERTIES</w:t>
            </w:r>
          </w:p>
        </w:tc>
        <w:tc>
          <w:tcPr>
            <w:tcW w:w="3820" w:type="dxa"/>
            <w:vAlign w:val="bottom"/>
            <w:gridSpan w:val="50"/>
          </w:tcPr>
          <w:p>
            <w:pPr>
              <w:jc w:val="right"/>
              <w:ind w:right="3580"/>
              <w:spacing w:after="0" w:line="201"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auto"/>
            </w:tcBorders>
            <w:gridSpan w:val="3"/>
          </w:tcPr>
          <w:p>
            <w:pPr>
              <w:spacing w:after="0"/>
              <w:rPr>
                <w:sz w:val="17"/>
                <w:szCs w:val="17"/>
                <w:color w:val="auto"/>
              </w:rPr>
            </w:pPr>
          </w:p>
        </w:tc>
        <w:tc>
          <w:tcPr>
            <w:tcW w:w="4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11"/>
          </w:tcPr>
          <w:p>
            <w:pPr>
              <w:spacing w:after="0" w:line="20" w:lineRule="exact"/>
              <w:rPr>
                <w:sz w:val="1"/>
                <w:szCs w:val="1"/>
                <w:color w:val="auto"/>
              </w:rPr>
            </w:pPr>
          </w:p>
        </w:tc>
        <w:tc>
          <w:tcPr>
            <w:tcW w:w="8860" w:type="dxa"/>
            <w:vAlign w:val="bottom"/>
            <w:tcBorders>
              <w:left w:val="single" w:sz="8" w:color="auto"/>
            </w:tcBorders>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10000"/>
                <w:w w:val="98"/>
              </w:rPr>
              <w:t xml:space="preserve">SECTION 3.06. </w:t>
            </w:r>
            <w:r>
              <w:rPr>
                <w:rFonts w:ascii="Times New Roman" w:cs="Times New Roman" w:eastAsia="Times New Roman" w:hAnsi="Times New Roman"/>
                <w:sz w:val="18"/>
                <w:szCs w:val="18"/>
                <w:color w:val="000000"/>
                <w:w w:val="98"/>
              </w:rPr>
              <w:t>LITIGATION</w:t>
            </w:r>
          </w:p>
        </w:tc>
        <w:tc>
          <w:tcPr>
            <w:tcW w:w="8880" w:type="dxa"/>
            <w:vAlign w:val="bottom"/>
            <w:gridSpan w:val="56"/>
          </w:tcPr>
          <w:p>
            <w:pPr>
              <w:jc w:val="right"/>
              <w:ind w:right="8680"/>
              <w:spacing w:after="0" w:line="189"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0"/>
        </w:trPr>
        <w:tc>
          <w:tcPr>
            <w:tcW w:w="2240" w:type="dxa"/>
            <w:vAlign w:val="bottom"/>
            <w:tcBorders>
              <w:right w:val="single" w:sz="8" w:color="auto"/>
            </w:tcBorders>
            <w:gridSpan w:val="8"/>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40" w:type="dxa"/>
            <w:vAlign w:val="bottom"/>
            <w:gridSpan w:val="31"/>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3.07. </w:t>
            </w:r>
            <w:r>
              <w:rPr>
                <w:rFonts w:ascii="Times New Roman" w:cs="Times New Roman" w:eastAsia="Times New Roman" w:hAnsi="Times New Roman"/>
                <w:sz w:val="18"/>
                <w:szCs w:val="18"/>
                <w:color w:val="000000"/>
              </w:rPr>
              <w:t>INVESTMENT COMPANY STATUS</w:t>
            </w:r>
          </w:p>
        </w:tc>
        <w:tc>
          <w:tcPr>
            <w:tcW w:w="240" w:type="dxa"/>
            <w:vAlign w:val="bottom"/>
            <w:gridSpan w:val="4"/>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gridSpan w:val="30"/>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3.08. </w:t>
            </w:r>
            <w:r>
              <w:rPr>
                <w:rFonts w:ascii="Times New Roman" w:cs="Times New Roman" w:eastAsia="Times New Roman" w:hAnsi="Times New Roman"/>
                <w:sz w:val="18"/>
                <w:szCs w:val="18"/>
                <w:color w:val="000000"/>
              </w:rPr>
              <w:t>TAXES  72</w:t>
            </w:r>
          </w:p>
        </w:tc>
        <w:tc>
          <w:tcPr>
            <w:tcW w:w="160" w:type="dxa"/>
            <w:vAlign w:val="bottom"/>
            <w:tcBorders>
              <w:top w:val="single" w:sz="8" w:color="auto"/>
            </w:tcBorders>
            <w:gridSpan w:val="2"/>
          </w:tcPr>
          <w:p>
            <w:pPr>
              <w:spacing w:after="0"/>
              <w:rPr>
                <w:sz w:val="17"/>
                <w:szCs w:val="17"/>
                <w:color w:val="auto"/>
              </w:rPr>
            </w:pPr>
          </w:p>
        </w:tc>
        <w:tc>
          <w:tcPr>
            <w:tcW w:w="71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auto"/>
            </w:tcBorders>
            <w:gridSpan w:val="3"/>
          </w:tcPr>
          <w:p>
            <w:pPr>
              <w:spacing w:after="0" w:line="20" w:lineRule="exact"/>
              <w:rPr>
                <w:sz w:val="1"/>
                <w:szCs w:val="1"/>
                <w:color w:val="auto"/>
              </w:rPr>
            </w:pPr>
          </w:p>
        </w:tc>
        <w:tc>
          <w:tcPr>
            <w:tcW w:w="9460" w:type="dxa"/>
            <w:vAlign w:val="bottom"/>
            <w:gridSpan w:val="6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620" w:right="31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10000"/>
              </w:rPr>
              <w:t xml:space="preserve">SECTION 3.09. </w:t>
            </w:r>
            <w:r>
              <w:rPr>
                <w:rFonts w:ascii="Times New Roman" w:cs="Times New Roman" w:eastAsia="Times New Roman" w:hAnsi="Times New Roman"/>
                <w:sz w:val="18"/>
                <w:szCs w:val="18"/>
                <w:color w:val="000000"/>
              </w:rPr>
              <w:t>ERISA</w:t>
            </w:r>
          </w:p>
        </w:tc>
        <w:tc>
          <w:tcPr>
            <w:tcW w:w="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1"/>
        </w:trPr>
        <w:tc>
          <w:tcPr>
            <w:tcW w:w="1820" w:type="dxa"/>
            <w:vAlign w:val="bottom"/>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3.10. </w:t>
            </w:r>
            <w:r>
              <w:rPr>
                <w:rFonts w:ascii="Times New Roman" w:cs="Times New Roman" w:eastAsia="Times New Roman" w:hAnsi="Times New Roman"/>
                <w:sz w:val="18"/>
                <w:szCs w:val="18"/>
                <w:color w:val="000000"/>
              </w:rPr>
              <w:t>DISCLOSURE</w:t>
            </w: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72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8"/>
              </w:rPr>
              <w:t>73</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3.11. </w:t>
            </w:r>
            <w:r>
              <w:rPr>
                <w:rFonts w:ascii="Times New Roman" w:cs="Times New Roman" w:eastAsia="Times New Roman" w:hAnsi="Times New Roman"/>
                <w:sz w:val="18"/>
                <w:szCs w:val="18"/>
                <w:color w:val="000000"/>
              </w:rPr>
              <w:t>FEDERAL RESERVE REGULATIONS</w:t>
            </w:r>
          </w:p>
        </w:tc>
        <w:tc>
          <w:tcPr>
            <w:tcW w:w="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3.12. </w:t>
            </w:r>
            <w:r>
              <w:rPr>
                <w:rFonts w:ascii="Times New Roman" w:cs="Times New Roman" w:eastAsia="Times New Roman" w:hAnsi="Times New Roman"/>
                <w:sz w:val="18"/>
                <w:szCs w:val="18"/>
                <w:color w:val="000000"/>
              </w:rPr>
              <w:t>NO DEFAULT</w:t>
            </w: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77"/>
              </w:rPr>
              <w:t>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3.13. </w:t>
            </w:r>
            <w:r>
              <w:rPr>
                <w:rFonts w:ascii="Times New Roman" w:cs="Times New Roman" w:eastAsia="Times New Roman" w:hAnsi="Times New Roman"/>
                <w:sz w:val="18"/>
                <w:szCs w:val="18"/>
                <w:color w:val="000000"/>
              </w:rPr>
              <w:t>ANTI-CORRUPTION LAWS AND SANCTIONS</w:t>
            </w:r>
          </w:p>
        </w:tc>
        <w:tc>
          <w:tcPr>
            <w:tcW w:w="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gridSpan w:val="6"/>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3.14. </w:t>
            </w:r>
            <w:r>
              <w:rPr>
                <w:rFonts w:ascii="Times New Roman" w:cs="Times New Roman" w:eastAsia="Times New Roman" w:hAnsi="Times New Roman"/>
                <w:sz w:val="18"/>
                <w:szCs w:val="18"/>
                <w:color w:val="000000"/>
              </w:rPr>
              <w:t>SOLVENCY</w:t>
            </w:r>
          </w:p>
        </w:tc>
        <w:tc>
          <w:tcPr>
            <w:tcW w:w="2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80" w:type="dxa"/>
            <w:vAlign w:val="bottom"/>
            <w:gridSpan w:val="11"/>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SECTION 3.15. </w:t>
            </w:r>
            <w:r>
              <w:rPr>
                <w:rFonts w:ascii="Times New Roman" w:cs="Times New Roman" w:eastAsia="Times New Roman" w:hAnsi="Times New Roman"/>
                <w:sz w:val="18"/>
                <w:szCs w:val="18"/>
                <w:color w:val="000000"/>
                <w:w w:val="98"/>
              </w:rPr>
              <w:t>USE OF PROCEEDS</w:t>
            </w:r>
          </w:p>
        </w:tc>
        <w:tc>
          <w:tcPr>
            <w:tcW w:w="180" w:type="dxa"/>
            <w:vAlign w:val="bottom"/>
            <w:tcBorders>
              <w:bottom w:val="single" w:sz="8" w:color="auto"/>
            </w:tcBorders>
            <w:gridSpan w:val="2"/>
          </w:tcPr>
          <w:p>
            <w:pPr>
              <w:spacing w:after="0"/>
              <w:rPr>
                <w:sz w:val="17"/>
                <w:szCs w:val="17"/>
                <w:color w:val="auto"/>
              </w:rPr>
            </w:pPr>
          </w:p>
        </w:tc>
        <w:tc>
          <w:tcPr>
            <w:tcW w:w="24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w w:val="88"/>
              </w:rPr>
              <w:t>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88"/>
              </w:rPr>
              <w:t>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3.16. </w:t>
            </w:r>
            <w:r>
              <w:rPr>
                <w:rFonts w:ascii="Times New Roman" w:cs="Times New Roman" w:eastAsia="Times New Roman" w:hAnsi="Times New Roman"/>
                <w:sz w:val="18"/>
                <w:szCs w:val="18"/>
                <w:color w:val="000000"/>
              </w:rPr>
              <w:t>EEA FINANCIAL INSTITUTIONS</w:t>
            </w:r>
          </w:p>
        </w:tc>
        <w:tc>
          <w:tcPr>
            <w:tcW w:w="2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ARTICLE IV </w:t>
            </w:r>
            <w:r>
              <w:rPr>
                <w:rFonts w:ascii="Times New Roman" w:cs="Times New Roman" w:eastAsia="Times New Roman" w:hAnsi="Times New Roman"/>
                <w:sz w:val="18"/>
                <w:szCs w:val="18"/>
                <w:color w:val="000000"/>
                <w:w w:val="98"/>
              </w:rPr>
              <w:t>Conditions</w:t>
            </w:r>
          </w:p>
        </w:tc>
        <w:tc>
          <w:tcPr>
            <w:tcW w:w="420" w:type="dxa"/>
            <w:vAlign w:val="bottom"/>
            <w:gridSpan w:val="4"/>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4.01. </w:t>
            </w:r>
            <w:r>
              <w:rPr>
                <w:rFonts w:ascii="Times New Roman" w:cs="Times New Roman" w:eastAsia="Times New Roman" w:hAnsi="Times New Roman"/>
                <w:sz w:val="18"/>
                <w:szCs w:val="18"/>
                <w:color w:val="000000"/>
              </w:rPr>
              <w:t>EFFECTIVE DATE</w:t>
            </w:r>
          </w:p>
        </w:tc>
        <w:tc>
          <w:tcPr>
            <w:tcW w:w="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0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color w:val="000000"/>
              </w:rPr>
              <w:t>EACH CREDIT EVENT</w:t>
            </w:r>
          </w:p>
        </w:tc>
        <w:tc>
          <w:tcPr>
            <w:tcW w:w="260" w:type="dxa"/>
            <w:vAlign w:val="bottom"/>
            <w:gridSpan w:val="4"/>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w w:val="88"/>
              </w:rPr>
              <w:t>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00" w:type="dxa"/>
            <w:vAlign w:val="bottom"/>
            <w:gridSpan w:val="40"/>
          </w:tcPr>
          <w:p>
            <w:pPr>
              <w:spacing w:after="0" w:line="201" w:lineRule="exact"/>
              <w:rPr>
                <w:sz w:val="20"/>
                <w:szCs w:val="20"/>
                <w:color w:val="auto"/>
              </w:rPr>
            </w:pPr>
            <w:r>
              <w:rPr>
                <w:rFonts w:ascii="Times New Roman" w:cs="Times New Roman" w:eastAsia="Times New Roman" w:hAnsi="Times New Roman"/>
                <w:sz w:val="18"/>
                <w:szCs w:val="18"/>
                <w:color w:val="010000"/>
                <w:w w:val="99"/>
              </w:rPr>
              <w:t xml:space="preserve">SECTION 4.03. </w:t>
            </w:r>
            <w:r>
              <w:rPr>
                <w:rFonts w:ascii="Times New Roman" w:cs="Times New Roman" w:eastAsia="Times New Roman" w:hAnsi="Times New Roman"/>
                <w:sz w:val="18"/>
                <w:szCs w:val="18"/>
                <w:color w:val="000000"/>
                <w:w w:val="99"/>
              </w:rPr>
              <w:t>DESIGNATION OF A FOREIGN SUBSIDIARY BORROWER</w:t>
            </w:r>
          </w:p>
        </w:tc>
        <w:tc>
          <w:tcPr>
            <w:tcW w:w="1320" w:type="dxa"/>
            <w:vAlign w:val="bottom"/>
            <w:gridSpan w:val="2"/>
          </w:tcPr>
          <w:p>
            <w:pPr>
              <w:jc w:val="right"/>
              <w:ind w:right="1000"/>
              <w:spacing w:after="0" w:line="201" w:lineRule="exact"/>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10000"/>
                <w:w w:val="99"/>
              </w:rPr>
              <w:t xml:space="preserve">ARTICLE V </w:t>
            </w:r>
            <w:r>
              <w:rPr>
                <w:rFonts w:ascii="Times New Roman" w:cs="Times New Roman" w:eastAsia="Times New Roman" w:hAnsi="Times New Roman"/>
                <w:sz w:val="18"/>
                <w:szCs w:val="18"/>
                <w:color w:val="000000"/>
                <w:w w:val="99"/>
              </w:rPr>
              <w:t>Affirmative Covenants</w:t>
            </w:r>
          </w:p>
        </w:tc>
        <w:tc>
          <w:tcPr>
            <w:tcW w:w="120" w:type="dxa"/>
            <w:vAlign w:val="bottom"/>
          </w:tcPr>
          <w:p>
            <w:pPr>
              <w:spacing w:after="0"/>
              <w:rPr>
                <w:sz w:val="16"/>
                <w:szCs w:val="16"/>
                <w:color w:val="auto"/>
              </w:rPr>
            </w:pP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00" w:type="dxa"/>
            <w:vAlign w:val="bottom"/>
            <w:gridSpan w:val="40"/>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5.01. </w:t>
            </w:r>
            <w:r>
              <w:rPr>
                <w:rFonts w:ascii="Times New Roman" w:cs="Times New Roman" w:eastAsia="Times New Roman" w:hAnsi="Times New Roman"/>
                <w:sz w:val="18"/>
                <w:szCs w:val="18"/>
                <w:color w:val="000000"/>
              </w:rPr>
              <w:t>FINANCIAL STATEMENTS AND OTHER INFORMATION</w:t>
            </w:r>
          </w:p>
        </w:tc>
        <w:tc>
          <w:tcPr>
            <w:tcW w:w="1320" w:type="dxa"/>
            <w:vAlign w:val="bottom"/>
            <w:gridSpan w:val="2"/>
          </w:tcPr>
          <w:p>
            <w:pPr>
              <w:jc w:val="right"/>
              <w:ind w:right="1140"/>
              <w:spacing w:after="0" w:line="201" w:lineRule="exact"/>
              <w:rPr>
                <w:sz w:val="20"/>
                <w:szCs w:val="20"/>
                <w:color w:val="auto"/>
              </w:rPr>
            </w:pPr>
            <w:r>
              <w:rPr>
                <w:rFonts w:ascii="Times New Roman" w:cs="Times New Roman" w:eastAsia="Times New Roman" w:hAnsi="Times New Roman"/>
                <w:sz w:val="18"/>
                <w:szCs w:val="18"/>
                <w:color w:val="auto"/>
                <w:w w:val="88"/>
              </w:rPr>
              <w:t>76</w:t>
            </w: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color w:val="000000"/>
              </w:rPr>
              <w:t>NOTICES OF MATERIAL EVENTS</w:t>
            </w: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60" w:type="dxa"/>
            <w:vAlign w:val="bottom"/>
            <w:gridSpan w:val="34"/>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5.03. </w:t>
            </w:r>
            <w:r>
              <w:rPr>
                <w:rFonts w:ascii="Times New Roman" w:cs="Times New Roman" w:eastAsia="Times New Roman" w:hAnsi="Times New Roman"/>
                <w:sz w:val="18"/>
                <w:szCs w:val="18"/>
                <w:color w:val="000000"/>
              </w:rPr>
              <w:t>EXISTENCE; CONDUCT OF BUSINESS  78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60" w:type="dxa"/>
            <w:vAlign w:val="bottom"/>
            <w:gridSpan w:val="22"/>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SECTION 5.04. </w:t>
            </w:r>
            <w:r>
              <w:rPr>
                <w:rFonts w:ascii="Times New Roman" w:cs="Times New Roman" w:eastAsia="Times New Roman" w:hAnsi="Times New Roman"/>
                <w:sz w:val="18"/>
                <w:szCs w:val="18"/>
                <w:color w:val="000000"/>
                <w:w w:val="98"/>
              </w:rPr>
              <w:t>PAYMENT OF OBLIGATIONS</w:t>
            </w:r>
          </w:p>
        </w:tc>
        <w:tc>
          <w:tcPr>
            <w:tcW w:w="180" w:type="dxa"/>
            <w:vAlign w:val="bottom"/>
            <w:tcBorders>
              <w:bottom w:val="single" w:sz="8" w:color="auto"/>
            </w:tcBorders>
          </w:tcPr>
          <w:p>
            <w:pPr>
              <w:spacing w:after="0"/>
              <w:rPr>
                <w:sz w:val="17"/>
                <w:szCs w:val="17"/>
                <w:color w:val="auto"/>
              </w:rPr>
            </w:pPr>
          </w:p>
        </w:tc>
        <w:tc>
          <w:tcPr>
            <w:tcW w:w="1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88"/>
              </w:rPr>
              <w:t>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w w:val="88"/>
              </w:rPr>
              <w:t>78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5.05. </w:t>
            </w:r>
            <w:r>
              <w:rPr>
                <w:rFonts w:ascii="Times New Roman" w:cs="Times New Roman" w:eastAsia="Times New Roman" w:hAnsi="Times New Roman"/>
                <w:sz w:val="18"/>
                <w:szCs w:val="18"/>
                <w:color w:val="000000"/>
              </w:rPr>
              <w:t>MAINTENANCE OF PROPERTIES; INSURANCE</w:t>
            </w: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60" w:type="dxa"/>
            <w:vAlign w:val="bottom"/>
            <w:gridSpan w:val="34"/>
          </w:tcPr>
          <w:p>
            <w:pPr>
              <w:spacing w:after="0" w:line="201" w:lineRule="exact"/>
              <w:rPr>
                <w:sz w:val="20"/>
                <w:szCs w:val="20"/>
                <w:color w:val="auto"/>
              </w:rPr>
            </w:pPr>
            <w:r>
              <w:rPr>
                <w:rFonts w:ascii="Times New Roman" w:cs="Times New Roman" w:eastAsia="Times New Roman" w:hAnsi="Times New Roman"/>
                <w:sz w:val="18"/>
                <w:szCs w:val="18"/>
                <w:color w:val="010000"/>
                <w:w w:val="99"/>
              </w:rPr>
              <w:t xml:space="preserve">SECTION 5.06. </w:t>
            </w:r>
            <w:r>
              <w:rPr>
                <w:rFonts w:ascii="Times New Roman" w:cs="Times New Roman" w:eastAsia="Times New Roman" w:hAnsi="Times New Roman"/>
                <w:sz w:val="18"/>
                <w:szCs w:val="18"/>
                <w:color w:val="000000"/>
                <w:w w:val="99"/>
              </w:rPr>
              <w:t>BOOKS AND RECORDS; INSPECTION RIGHTS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76"/>
              </w:rPr>
              <w:t>78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60" w:type="dxa"/>
            <w:vAlign w:val="bottom"/>
            <w:gridSpan w:val="46"/>
          </w:tcPr>
          <w:p>
            <w:pPr>
              <w:spacing w:after="0"/>
              <w:rPr>
                <w:sz w:val="20"/>
                <w:szCs w:val="20"/>
                <w:color w:val="auto"/>
              </w:rPr>
            </w:pPr>
            <w:r>
              <w:rPr>
                <w:rFonts w:ascii="Times New Roman" w:cs="Times New Roman" w:eastAsia="Times New Roman" w:hAnsi="Times New Roman"/>
                <w:sz w:val="18"/>
                <w:szCs w:val="18"/>
                <w:color w:val="010000"/>
              </w:rPr>
              <w:t xml:space="preserve">SECTION 5.07. </w:t>
            </w:r>
            <w:r>
              <w:rPr>
                <w:rFonts w:ascii="Times New Roman" w:cs="Times New Roman" w:eastAsia="Times New Roman" w:hAnsi="Times New Roman"/>
                <w:sz w:val="18"/>
                <w:szCs w:val="18"/>
                <w:color w:val="000000"/>
              </w:rPr>
              <w:t>COMPLIANCE WITH LAWS AND MATERIAL CONTRACTUAL</w:t>
            </w:r>
          </w:p>
        </w:tc>
        <w:tc>
          <w:tcPr>
            <w:tcW w:w="0" w:type="dxa"/>
            <w:vAlign w:val="bottom"/>
          </w:tcPr>
          <w:p>
            <w:pPr>
              <w:spacing w:after="0"/>
              <w:rPr>
                <w:sz w:val="1"/>
                <w:szCs w:val="1"/>
                <w:color w:val="auto"/>
              </w:rPr>
            </w:pPr>
          </w:p>
        </w:tc>
      </w:tr>
      <w:tr>
        <w:trPr>
          <w:trHeight w:val="193"/>
        </w:trPr>
        <w:tc>
          <w:tcPr>
            <w:tcW w:w="2500" w:type="dxa"/>
            <w:vAlign w:val="bottom"/>
            <w:gridSpan w:val="9"/>
          </w:tcPr>
          <w:p>
            <w:pPr>
              <w:ind w:left="1180"/>
              <w:spacing w:after="0" w:line="193" w:lineRule="exact"/>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w w:val="77"/>
              </w:rPr>
              <w:t>79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5.08. </w:t>
            </w:r>
            <w:r>
              <w:rPr>
                <w:rFonts w:ascii="Times New Roman" w:cs="Times New Roman" w:eastAsia="Times New Roman" w:hAnsi="Times New Roman"/>
                <w:sz w:val="18"/>
                <w:szCs w:val="18"/>
                <w:color w:val="000000"/>
              </w:rPr>
              <w:t>USE OF PROCEEDS AND LETTERS OF CREDIT</w:t>
            </w: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ARTICLE VI </w:t>
            </w:r>
            <w:r>
              <w:rPr>
                <w:rFonts w:ascii="Times New Roman" w:cs="Times New Roman" w:eastAsia="Times New Roman" w:hAnsi="Times New Roman"/>
                <w:sz w:val="18"/>
                <w:szCs w:val="18"/>
                <w:color w:val="000000"/>
                <w:w w:val="98"/>
              </w:rPr>
              <w:t>Negative Covenants</w:t>
            </w:r>
          </w:p>
        </w:tc>
        <w:tc>
          <w:tcPr>
            <w:tcW w:w="3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0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6.01. </w:t>
            </w:r>
            <w:r>
              <w:rPr>
                <w:rFonts w:ascii="Times New Roman" w:cs="Times New Roman" w:eastAsia="Times New Roman" w:hAnsi="Times New Roman"/>
                <w:sz w:val="18"/>
                <w:szCs w:val="18"/>
                <w:color w:val="000000"/>
              </w:rPr>
              <w:t>INDEBTEDNESS  80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10000"/>
                <w:w w:val="98"/>
              </w:rPr>
              <w:t xml:space="preserve">SECTION 6.02. </w:t>
            </w:r>
            <w:r>
              <w:rPr>
                <w:rFonts w:ascii="Times New Roman" w:cs="Times New Roman" w:eastAsia="Times New Roman" w:hAnsi="Times New Roman"/>
                <w:sz w:val="18"/>
                <w:szCs w:val="18"/>
                <w:color w:val="000000"/>
                <w:w w:val="98"/>
              </w:rPr>
              <w:t>LIENS</w:t>
            </w:r>
          </w:p>
        </w:tc>
        <w:tc>
          <w:tcPr>
            <w:tcW w:w="100" w:type="dxa"/>
            <w:vAlign w:val="bottom"/>
          </w:tcPr>
          <w:p>
            <w:pPr>
              <w:spacing w:after="0"/>
              <w:rPr>
                <w:sz w:val="16"/>
                <w:szCs w:val="16"/>
                <w:color w:val="auto"/>
              </w:rPr>
            </w:pPr>
          </w:p>
        </w:tc>
        <w:tc>
          <w:tcPr>
            <w:tcW w:w="3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00" w:type="dxa"/>
            <w:vAlign w:val="bottom"/>
            <w:gridSpan w:val="36"/>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6.03. </w:t>
            </w:r>
            <w:r>
              <w:rPr>
                <w:rFonts w:ascii="Times New Roman" w:cs="Times New Roman" w:eastAsia="Times New Roman" w:hAnsi="Times New Roman"/>
                <w:sz w:val="18"/>
                <w:szCs w:val="18"/>
                <w:color w:val="000000"/>
              </w:rPr>
              <w:t>FUNDAMENTAL CHANGES AND ASSET SALES</w:t>
            </w:r>
          </w:p>
        </w:tc>
        <w:tc>
          <w:tcPr>
            <w:tcW w:w="52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6.04. </w:t>
            </w:r>
            <w:r>
              <w:rPr>
                <w:rFonts w:ascii="Times New Roman" w:cs="Times New Roman" w:eastAsia="Times New Roman" w:hAnsi="Times New Roman"/>
                <w:sz w:val="18"/>
                <w:szCs w:val="18"/>
                <w:color w:val="000000"/>
              </w:rPr>
              <w:t>INVESTMENTS, LOANS, ADVANCES, GUARANTEES AND ACQUISITIONS  83</w:t>
            </w:r>
          </w:p>
        </w:tc>
        <w:tc>
          <w:tcPr>
            <w:tcW w:w="0" w:type="dxa"/>
            <w:vAlign w:val="bottom"/>
          </w:tcPr>
          <w:p>
            <w:pPr>
              <w:spacing w:after="0"/>
              <w:rPr>
                <w:sz w:val="1"/>
                <w:szCs w:val="1"/>
                <w:color w:val="auto"/>
              </w:rPr>
            </w:pPr>
          </w:p>
        </w:tc>
      </w:tr>
      <w:tr>
        <w:trPr>
          <w:trHeight w:val="201"/>
        </w:trPr>
        <w:tc>
          <w:tcPr>
            <w:tcW w:w="4300" w:type="dxa"/>
            <w:vAlign w:val="bottom"/>
            <w:gridSpan w:val="29"/>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6.05. </w:t>
            </w:r>
            <w:r>
              <w:rPr>
                <w:rFonts w:ascii="Times New Roman" w:cs="Times New Roman" w:eastAsia="Times New Roman" w:hAnsi="Times New Roman"/>
                <w:sz w:val="18"/>
                <w:szCs w:val="18"/>
                <w:color w:val="000000"/>
              </w:rPr>
              <w:t>TRANSACTIONS WITH AFFILIATES</w:t>
            </w:r>
          </w:p>
        </w:tc>
        <w:tc>
          <w:tcPr>
            <w:tcW w:w="2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w w:val="88"/>
              </w:rPr>
              <w:t>84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SECTION 6.06. </w:t>
            </w:r>
            <w:r>
              <w:rPr>
                <w:rFonts w:ascii="Times New Roman" w:cs="Times New Roman" w:eastAsia="Times New Roman" w:hAnsi="Times New Roman"/>
                <w:sz w:val="18"/>
                <w:szCs w:val="18"/>
                <w:color w:val="000000"/>
                <w:w w:val="98"/>
              </w:rPr>
              <w:t>RESTRICTED PAYMENTS</w:t>
            </w:r>
          </w:p>
        </w:tc>
        <w:tc>
          <w:tcPr>
            <w:tcW w:w="180" w:type="dxa"/>
            <w:vAlign w:val="bottom"/>
            <w:tcBorders>
              <w:bottom w:val="single" w:sz="8" w:color="auto"/>
            </w:tcBorders>
            <w:gridSpan w:val="3"/>
          </w:tcPr>
          <w:p>
            <w:pPr>
              <w:spacing w:after="0"/>
              <w:rPr>
                <w:sz w:val="17"/>
                <w:szCs w:val="17"/>
                <w:color w:val="auto"/>
              </w:rPr>
            </w:pPr>
          </w:p>
        </w:tc>
        <w:tc>
          <w:tcPr>
            <w:tcW w:w="280" w:type="dxa"/>
            <w:vAlign w:val="bottom"/>
            <w:gridSpan w:val="3"/>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w w:val="88"/>
              </w:rPr>
              <w:t>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6.07. </w:t>
            </w:r>
            <w:r>
              <w:rPr>
                <w:rFonts w:ascii="Times New Roman" w:cs="Times New Roman" w:eastAsia="Times New Roman" w:hAnsi="Times New Roman"/>
                <w:sz w:val="18"/>
                <w:szCs w:val="18"/>
                <w:color w:val="000000"/>
              </w:rPr>
              <w:t>NET LEVERAGE RATIO</w:t>
            </w:r>
          </w:p>
        </w:tc>
        <w:tc>
          <w:tcPr>
            <w:tcW w:w="3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10000"/>
                <w:w w:val="98"/>
              </w:rPr>
              <w:t xml:space="preserve">ARTICLE VII </w:t>
            </w:r>
            <w:r>
              <w:rPr>
                <w:rFonts w:ascii="Times New Roman" w:cs="Times New Roman" w:eastAsia="Times New Roman" w:hAnsi="Times New Roman"/>
                <w:sz w:val="18"/>
                <w:szCs w:val="18"/>
                <w:color w:val="000000"/>
                <w:w w:val="98"/>
              </w:rPr>
              <w:t>Events of Default</w:t>
            </w:r>
          </w:p>
        </w:tc>
        <w:tc>
          <w:tcPr>
            <w:tcW w:w="1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ARTICLE VIII </w:t>
            </w:r>
            <w:r>
              <w:rPr>
                <w:rFonts w:ascii="Times New Roman" w:cs="Times New Roman" w:eastAsia="Times New Roman" w:hAnsi="Times New Roman"/>
                <w:sz w:val="18"/>
                <w:szCs w:val="18"/>
                <w:color w:val="000000"/>
              </w:rPr>
              <w:t>The Administrative Agent and the Sustainability Agent</w:t>
            </w: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gridSpan w:val="6"/>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ARTICLE IX </w:t>
            </w:r>
            <w:r>
              <w:rPr>
                <w:rFonts w:ascii="Times New Roman" w:cs="Times New Roman" w:eastAsia="Times New Roman" w:hAnsi="Times New Roman"/>
                <w:sz w:val="18"/>
                <w:szCs w:val="18"/>
                <w:color w:val="000000"/>
              </w:rPr>
              <w:t>Miscellaneous</w:t>
            </w:r>
          </w:p>
        </w:tc>
        <w:tc>
          <w:tcPr>
            <w:tcW w:w="260" w:type="dxa"/>
            <w:vAlign w:val="bottom"/>
            <w:gridSpan w:val="3"/>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w w:val="88"/>
              </w:rPr>
              <w:t>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9.01. </w:t>
            </w:r>
            <w:r>
              <w:rPr>
                <w:rFonts w:ascii="Times New Roman" w:cs="Times New Roman" w:eastAsia="Times New Roman" w:hAnsi="Times New Roman"/>
                <w:sz w:val="18"/>
                <w:szCs w:val="18"/>
                <w:color w:val="000000"/>
              </w:rPr>
              <w:t>NOTICES  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8"/>
              </w:rPr>
              <w:t>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auto"/>
            </w:tcBorders>
            <w:gridSpan w:val="4"/>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10000"/>
                <w:w w:val="98"/>
              </w:rPr>
              <w:t xml:space="preserve">SECTION 9.02. </w:t>
            </w:r>
            <w:r>
              <w:rPr>
                <w:rFonts w:ascii="Times New Roman" w:cs="Times New Roman" w:eastAsia="Times New Roman" w:hAnsi="Times New Roman"/>
                <w:sz w:val="18"/>
                <w:szCs w:val="18"/>
                <w:color w:val="000000"/>
                <w:w w:val="98"/>
              </w:rPr>
              <w:t>WAIVERS; AMENDMENTS</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60" w:type="dxa"/>
            <w:vAlign w:val="bottom"/>
            <w:gridSpan w:val="34"/>
          </w:tcPr>
          <w:p>
            <w:pPr>
              <w:spacing w:after="0" w:line="201" w:lineRule="exact"/>
              <w:rPr>
                <w:sz w:val="20"/>
                <w:szCs w:val="20"/>
                <w:color w:val="auto"/>
              </w:rPr>
            </w:pPr>
            <w:r>
              <w:rPr>
                <w:rFonts w:ascii="Times New Roman" w:cs="Times New Roman" w:eastAsia="Times New Roman" w:hAnsi="Times New Roman"/>
                <w:sz w:val="18"/>
                <w:szCs w:val="18"/>
                <w:color w:val="010000"/>
              </w:rPr>
              <w:t xml:space="preserve">SECTION 9.03. </w:t>
            </w:r>
            <w:r>
              <w:rPr>
                <w:rFonts w:ascii="Times New Roman" w:cs="Times New Roman" w:eastAsia="Times New Roman" w:hAnsi="Times New Roman"/>
                <w:sz w:val="18"/>
                <w:szCs w:val="18"/>
                <w:color w:val="000000"/>
              </w:rPr>
              <w:t>EXPENSES; INDEMNITY; DAMAGE WAIVER</w:t>
            </w:r>
          </w:p>
        </w:tc>
        <w:tc>
          <w:tcPr>
            <w:tcW w:w="24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10000"/>
              </w:rPr>
              <w:t xml:space="preserve">SECTION 9.04. </w:t>
            </w:r>
            <w:r>
              <w:rPr>
                <w:rFonts w:ascii="Times New Roman" w:cs="Times New Roman" w:eastAsia="Times New Roman" w:hAnsi="Times New Roman"/>
                <w:sz w:val="18"/>
                <w:szCs w:val="18"/>
                <w:color w:val="000000"/>
              </w:rPr>
              <w:t>SUCCESSORS AND ASSIGNS</w:t>
            </w:r>
          </w:p>
        </w:tc>
        <w:tc>
          <w:tcPr>
            <w:tcW w:w="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88"/>
              </w:rPr>
              <w:t>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4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010000"/>
                <w:w w:val="99"/>
              </w:rPr>
              <w:t xml:space="preserve">SECTION 9.05. </w:t>
            </w:r>
            <w:r>
              <w:rPr>
                <w:rFonts w:ascii="Times New Roman" w:cs="Times New Roman" w:eastAsia="Times New Roman" w:hAnsi="Times New Roman"/>
                <w:sz w:val="18"/>
                <w:szCs w:val="18"/>
                <w:color w:val="000000"/>
                <w:w w:val="99"/>
              </w:rPr>
              <w:t>SURVIVAL</w:t>
            </w:r>
          </w:p>
        </w:tc>
        <w:tc>
          <w:tcPr>
            <w:tcW w:w="100" w:type="dxa"/>
            <w:vAlign w:val="bottom"/>
          </w:tcPr>
          <w:p>
            <w:pPr>
              <w:spacing w:after="0"/>
              <w:rPr>
                <w:sz w:val="17"/>
                <w:szCs w:val="17"/>
                <w:color w:val="auto"/>
              </w:rPr>
            </w:pPr>
          </w:p>
        </w:tc>
        <w:tc>
          <w:tcPr>
            <w:tcW w:w="26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w w:val="99"/>
              </w:rPr>
              <w:t>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634" w:right="31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w:t>
      </w:r>
    </w:p>
    <w:tbl>
      <w:tblPr>
        <w:tblLayout w:type="fixed"/>
        <w:tblInd w:w="0" w:type="dxa"/>
        <w:tblCellMar>
          <w:top w:w="0" w:type="dxa"/>
          <w:left w:w="0" w:type="dxa"/>
          <w:bottom w:w="0" w:type="dxa"/>
          <w:right w:w="0" w:type="dxa"/>
        </w:tblCellMar>
      </w:tblPr>
      <w:tr>
        <w:trPr>
          <w:trHeight w:val="20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EXECUTION</w:t>
            </w: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100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w w:val="99"/>
              </w:rPr>
              <w:t>SECTION 9.07. SEVERABILITY</w:t>
            </w: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gridSpan w:val="11"/>
          </w:tcPr>
          <w:p>
            <w:pPr>
              <w:spacing w:after="0" w:line="201" w:lineRule="exact"/>
              <w:rPr>
                <w:sz w:val="20"/>
                <w:szCs w:val="20"/>
                <w:color w:val="auto"/>
              </w:rPr>
            </w:pPr>
            <w:r>
              <w:rPr>
                <w:rFonts w:ascii="Times New Roman" w:cs="Times New Roman" w:eastAsia="Times New Roman" w:hAnsi="Times New Roman"/>
                <w:sz w:val="18"/>
                <w:szCs w:val="18"/>
                <w:color w:val="auto"/>
              </w:rPr>
              <w:t>SECTION 9.08. RIGHT OF SETOFF</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0"/>
              </w:rPr>
              <w:t>101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3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SECTION 9.09. GOVERNING LAW; JURISDICTION; CONSENT TO SERVICE OF PROCESS  101</w:t>
            </w:r>
          </w:p>
        </w:tc>
        <w:tc>
          <w:tcPr>
            <w:tcW w:w="0" w:type="dxa"/>
            <w:vAlign w:val="bottom"/>
          </w:tcPr>
          <w:p>
            <w:pPr>
              <w:spacing w:after="0"/>
              <w:rPr>
                <w:sz w:val="1"/>
                <w:szCs w:val="1"/>
                <w:color w:val="auto"/>
              </w:rPr>
            </w:pPr>
          </w:p>
        </w:tc>
      </w:tr>
      <w:tr>
        <w:trPr>
          <w:trHeight w:val="201"/>
        </w:trPr>
        <w:tc>
          <w:tcPr>
            <w:tcW w:w="54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SECTION 9.10. WAIVER OF JURY TRIAL  102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SECTION 9.11. HEADINGS  103</w:t>
            </w: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2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w w:val="96"/>
              </w:rPr>
              <w:t>103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auto"/>
              </w:rPr>
              <w:t>SECTION 9.12. CONFIDENTIALITY</w:t>
            </w:r>
          </w:p>
        </w:tc>
        <w:tc>
          <w:tcPr>
            <w:tcW w:w="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gridSpan w:val="11"/>
          </w:tcPr>
          <w:p>
            <w:pPr>
              <w:spacing w:after="0" w:line="201" w:lineRule="exact"/>
              <w:rPr>
                <w:sz w:val="20"/>
                <w:szCs w:val="20"/>
                <w:color w:val="auto"/>
              </w:rPr>
            </w:pPr>
            <w:r>
              <w:rPr>
                <w:rFonts w:ascii="Times New Roman" w:cs="Times New Roman" w:eastAsia="Times New Roman" w:hAnsi="Times New Roman"/>
                <w:sz w:val="18"/>
                <w:szCs w:val="18"/>
                <w:color w:val="auto"/>
              </w:rPr>
              <w:t>SECTION 9.13. USA PATRIOT ACT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0"/>
              </w:rPr>
              <w:t>104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auto"/>
              </w:rPr>
              <w:t>SECTION 9.14. RECOVERY OF ERRONEOUS PAYMENTS  104</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auto"/>
              </w:rPr>
              <w:t>SECTION 9.15. INTEREST RATE LIMITATION  104</w:t>
            </w:r>
          </w:p>
        </w:tc>
        <w:tc>
          <w:tcPr>
            <w:tcW w:w="180" w:type="dxa"/>
            <w:vAlign w:val="bottom"/>
            <w:tcBorders>
              <w:top w:val="single" w:sz="8" w:color="auto"/>
            </w:tcBorders>
          </w:tcPr>
          <w:p>
            <w:pPr>
              <w:spacing w:after="0"/>
              <w:rPr>
                <w:sz w:val="17"/>
                <w:szCs w:val="17"/>
                <w:color w:val="auto"/>
              </w:rPr>
            </w:pPr>
          </w:p>
        </w:tc>
        <w:tc>
          <w:tcPr>
            <w:tcW w:w="6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SECTION 9.16. NO ADVISORY OR FIDUCIARY RESPONSIBILITY</w:t>
            </w:r>
          </w:p>
        </w:tc>
        <w:tc>
          <w:tcPr>
            <w:tcW w:w="82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3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SECTION 9.17. ACKNOWLEDGEMENT AND CONSENT TO BAIL-IN OF AFFECTED FINANCIAL INSTITUTIONS  105</w:t>
            </w:r>
          </w:p>
        </w:tc>
        <w:tc>
          <w:tcPr>
            <w:tcW w:w="0" w:type="dxa"/>
            <w:vAlign w:val="bottom"/>
          </w:tcPr>
          <w:p>
            <w:pPr>
              <w:spacing w:after="0"/>
              <w:rPr>
                <w:sz w:val="1"/>
                <w:szCs w:val="1"/>
                <w:color w:val="auto"/>
              </w:rPr>
            </w:pPr>
          </w:p>
        </w:tc>
      </w:tr>
      <w:tr>
        <w:trPr>
          <w:trHeight w:val="201"/>
        </w:trPr>
        <w:tc>
          <w:tcPr>
            <w:tcW w:w="8940" w:type="dxa"/>
            <w:vAlign w:val="bottom"/>
            <w:gridSpan w:val="26"/>
          </w:tcPr>
          <w:p>
            <w:pPr>
              <w:spacing w:after="0" w:line="201" w:lineRule="exact"/>
              <w:rPr>
                <w:sz w:val="20"/>
                <w:szCs w:val="20"/>
                <w:color w:val="auto"/>
              </w:rPr>
            </w:pPr>
            <w:r>
              <w:rPr>
                <w:rFonts w:ascii="Times New Roman" w:cs="Times New Roman" w:eastAsia="Times New Roman" w:hAnsi="Times New Roman"/>
                <w:sz w:val="18"/>
                <w:szCs w:val="18"/>
                <w:color w:val="auto"/>
              </w:rPr>
              <w:t>SECTION 9.18. ACKNOWLEDGEMENT REGARDING ANY SUPPORTED QFCS  105</w:t>
            </w:r>
          </w:p>
        </w:tc>
        <w:tc>
          <w:tcPr>
            <w:tcW w:w="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auto"/>
              </w:rPr>
              <w:t>SECTION 9.19. CERTAIN ERISA MATTERS  106</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X Company Guarantee</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107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SECTION 10.01. GUARANTEE</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107</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auto"/>
              </w:rPr>
              <w:t>SECTION 10.02. NO SUBROGATION</w:t>
            </w:r>
          </w:p>
        </w:tc>
        <w:tc>
          <w:tcPr>
            <w:tcW w:w="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gridSpan w:val="4"/>
          </w:tcPr>
          <w:p>
            <w:pPr>
              <w:spacing w:after="0" w:line="20" w:lineRule="exact"/>
              <w:rPr>
                <w:sz w:val="1"/>
                <w:szCs w:val="1"/>
                <w:color w:val="auto"/>
              </w:rPr>
            </w:pPr>
          </w:p>
        </w:tc>
        <w:tc>
          <w:tcPr>
            <w:tcW w:w="2400" w:type="dxa"/>
            <w:vAlign w:val="bottom"/>
            <w:tcBorders>
              <w:left w:val="single" w:sz="8" w:color="auto"/>
            </w:tcBorders>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SECTION 10.03. AMENDMENTS, ETC. WITH RESPECT TO THE SUBSIDIARY</w:t>
            </w:r>
          </w:p>
        </w:tc>
        <w:tc>
          <w:tcPr>
            <w:tcW w:w="0" w:type="dxa"/>
            <w:vAlign w:val="bottom"/>
          </w:tcPr>
          <w:p>
            <w:pPr>
              <w:spacing w:after="0"/>
              <w:rPr>
                <w:sz w:val="1"/>
                <w:szCs w:val="1"/>
                <w:color w:val="auto"/>
              </w:rPr>
            </w:pPr>
          </w:p>
        </w:tc>
      </w:tr>
      <w:tr>
        <w:trPr>
          <w:trHeight w:val="193"/>
        </w:trPr>
        <w:tc>
          <w:tcPr>
            <w:tcW w:w="1260" w:type="dxa"/>
            <w:vAlign w:val="bottom"/>
            <w:gridSpan w:val="3"/>
          </w:tcPr>
          <w:p>
            <w:pPr>
              <w:spacing w:after="0" w:line="193" w:lineRule="exact"/>
              <w:rPr>
                <w:sz w:val="20"/>
                <w:szCs w:val="20"/>
                <w:color w:val="auto"/>
              </w:rPr>
            </w:pPr>
            <w:r>
              <w:rPr>
                <w:rFonts w:ascii="Times New Roman" w:cs="Times New Roman" w:eastAsia="Times New Roman" w:hAnsi="Times New Roman"/>
                <w:sz w:val="18"/>
                <w:szCs w:val="18"/>
                <w:color w:val="auto"/>
              </w:rPr>
              <w:t>OBLIGATIONS</w:t>
            </w:r>
          </w:p>
        </w:tc>
        <w:tc>
          <w:tcPr>
            <w:tcW w:w="860" w:type="dxa"/>
            <w:vAlign w:val="bottom"/>
            <w:gridSpan w:val="2"/>
          </w:tcPr>
          <w:p>
            <w:pPr>
              <w:jc w:val="right"/>
              <w:ind w:right="480"/>
              <w:spacing w:after="0" w:line="193" w:lineRule="exact"/>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w w:val="99"/>
              </w:rPr>
              <w:t>SECTION 10.04. GUARANTEE ABSOLUTE AND UNCONDITIONAL</w:t>
            </w:r>
          </w:p>
        </w:tc>
        <w:tc>
          <w:tcPr>
            <w:tcW w:w="82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auto"/>
              </w:rPr>
              <w:t>SECTION 10.05. REINSTATEMENT</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109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00" w:type="dxa"/>
            <w:vAlign w:val="bottom"/>
            <w:gridSpan w:val="11"/>
          </w:tcPr>
          <w:p>
            <w:pPr>
              <w:spacing w:after="0" w:line="201" w:lineRule="exact"/>
              <w:rPr>
                <w:sz w:val="20"/>
                <w:szCs w:val="20"/>
                <w:color w:val="auto"/>
              </w:rPr>
            </w:pPr>
            <w:r>
              <w:rPr>
                <w:rFonts w:ascii="Times New Roman" w:cs="Times New Roman" w:eastAsia="Times New Roman" w:hAnsi="Times New Roman"/>
                <w:sz w:val="18"/>
                <w:szCs w:val="18"/>
                <w:color w:val="auto"/>
              </w:rPr>
              <w:t>SECTION 10.06. PAYMENTS  109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634" w:right="319" w:bottom="1440" w:gutter="0" w:footer="0" w:header="0"/>
        </w:sectPr>
      </w:pPr>
    </w:p>
    <w:bookmarkStart w:id="82" w:name="page83"/>
    <w:bookmarkEnd w:id="82"/>
    <w:p>
      <w:pPr>
        <w:jc w:val="center"/>
        <w:ind w:right="-2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(continued)</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 – Commitments</w:t>
      </w:r>
    </w:p>
    <w:p>
      <w:pPr>
        <w:spacing w:after="0" w:line="22" w:lineRule="exact"/>
        <w:rPr>
          <w:sz w:val="20"/>
          <w:szCs w:val="20"/>
          <w:color w:val="auto"/>
        </w:rPr>
      </w:pPr>
    </w:p>
    <w:p>
      <w:pPr>
        <w:ind w:right="4480"/>
        <w:spacing w:after="0" w:line="248" w:lineRule="auto"/>
        <w:rPr>
          <w:sz w:val="20"/>
          <w:szCs w:val="20"/>
          <w:color w:val="auto"/>
        </w:rPr>
      </w:pPr>
      <w:r>
        <w:rPr>
          <w:rFonts w:ascii="Times New Roman" w:cs="Times New Roman" w:eastAsia="Times New Roman" w:hAnsi="Times New Roman"/>
          <w:sz w:val="18"/>
          <w:szCs w:val="18"/>
          <w:color w:val="auto"/>
        </w:rPr>
        <w:t>Schedule 2.06(A) – Letter of Credit Sublimits Schedule 2.06(B) – Existing Letter of Credit Schedule 3.05 – Properties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3.06 – Litigation Schedule 6.02 – Existing Liens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 9.01 – Administrative Agent’s Office; Certain Addresses for Notices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Assignment and Assumption Exhibit B – [Intentionally Omitted]</w:t>
      </w:r>
    </w:p>
    <w:p>
      <w:pPr>
        <w:spacing w:after="0" w:line="8" w:lineRule="exact"/>
        <w:rPr>
          <w:sz w:val="20"/>
          <w:szCs w:val="20"/>
          <w:color w:val="auto"/>
        </w:rPr>
      </w:pPr>
    </w:p>
    <w:p>
      <w:pPr>
        <w:ind w:right="3400"/>
        <w:spacing w:after="0" w:line="248" w:lineRule="auto"/>
        <w:rPr>
          <w:sz w:val="20"/>
          <w:szCs w:val="20"/>
          <w:color w:val="auto"/>
        </w:rPr>
      </w:pPr>
      <w:r>
        <w:rPr>
          <w:rFonts w:ascii="Times New Roman" w:cs="Times New Roman" w:eastAsia="Times New Roman" w:hAnsi="Times New Roman"/>
          <w:sz w:val="18"/>
          <w:szCs w:val="18"/>
          <w:color w:val="auto"/>
        </w:rPr>
        <w:t>Exhibit C – Form of Increasing Lender Supplement Exhibit D – Form of Augmenting Lender Supplement Exhibit E – [Intentionally Omitted]</w:t>
      </w:r>
    </w:p>
    <w:p>
      <w:pPr>
        <w:spacing w:after="0" w:line="2" w:lineRule="exact"/>
        <w:rPr>
          <w:sz w:val="20"/>
          <w:szCs w:val="20"/>
          <w:color w:val="auto"/>
        </w:rPr>
      </w:pPr>
    </w:p>
    <w:p>
      <w:pPr>
        <w:ind w:right="3680"/>
        <w:spacing w:after="0" w:line="252" w:lineRule="auto"/>
        <w:rPr>
          <w:sz w:val="20"/>
          <w:szCs w:val="20"/>
          <w:color w:val="auto"/>
        </w:rPr>
      </w:pPr>
      <w:r>
        <w:rPr>
          <w:rFonts w:ascii="Times New Roman" w:cs="Times New Roman" w:eastAsia="Times New Roman" w:hAnsi="Times New Roman"/>
          <w:sz w:val="18"/>
          <w:szCs w:val="18"/>
          <w:color w:val="auto"/>
        </w:rPr>
        <w:t>Exhibit F-1 – Form of Borrowing Subsidiary Agreement Exhibit F-2 – Form of Borrowing Subsidiary Termination Exhibit G – [Intentionally Omitted]</w:t>
      </w:r>
    </w:p>
    <w:p>
      <w:pPr>
        <w:ind w:right="820"/>
        <w:spacing w:after="0" w:line="248" w:lineRule="auto"/>
        <w:rPr>
          <w:sz w:val="20"/>
          <w:szCs w:val="20"/>
          <w:color w:val="auto"/>
        </w:rPr>
      </w:pPr>
      <w:r>
        <w:rPr>
          <w:rFonts w:ascii="Times New Roman" w:cs="Times New Roman" w:eastAsia="Times New Roman" w:hAnsi="Times New Roman"/>
          <w:sz w:val="18"/>
          <w:szCs w:val="18"/>
          <w:color w:val="auto"/>
        </w:rPr>
        <w:t>Exhibit H-1 – Form of U.S. Tax Certificate (Foreign Lenders That Are Not Partnerships) Exhibit H-2 – Form of U.S. Tax Certificate (Foreign Participants That Are Not Partnerships) Exhibit H-3 – Form of U.S. Tax Certificate (Foreign Participants That Are Partnerships)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H-4 – Form of U.S. Tax Certificate (Foreign Lenders That Are Partnerships)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 – Form of Solvency Certificate</w:t>
      </w:r>
    </w:p>
    <w:p>
      <w:pPr>
        <w:sectPr>
          <w:pgSz w:w="11900" w:h="16838" w:orient="portrait"/>
          <w:cols w:equalWidth="0" w:num="1">
            <w:col w:w="11020"/>
          </w:cols>
          <w:pgMar w:left="320" w:top="634" w:right="559" w:bottom="1440" w:gutter="0" w:footer="0" w:header="0"/>
        </w:sectPr>
      </w:pPr>
    </w:p>
    <w:bookmarkStart w:id="83" w:name="page84"/>
    <w:bookmarkEnd w:id="83"/>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11, 2022, among TAPESTRY, INC., the FOREIGN SUBSIDIARY BORROWERS from time to time party hereto, the LENDERS from time to time party hereto, and BANK OF AMERICA, N.A., as Administrative Agent.</w:t>
      </w:r>
    </w:p>
    <w:p>
      <w:pPr>
        <w:spacing w:after="0" w:line="155"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WHEREAS, the Borrowers (such term and each other capitalized term used and not otherwise defined herein having the meaning assigned to it in Section 1.01), the lenders party thereto and Bank of America, N.A., as administrative agent thereunder, are currently party to the Credit Agreement, dated as of October 24, 2019 (and as further amended, supplemented or otherwise modified prior to the Effective Date, the “Existing Credit Agreement”);</w:t>
      </w:r>
    </w:p>
    <w:p>
      <w:pPr>
        <w:spacing w:after="0" w:line="170"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WHEREAS, the Borrowers, the Lenders party hereto and the Administrative Agent have entered into this Agreement in order to provide for a (i) $1,250,000,000 revolving loan credit facility and to replace the revolving credit loan facility in the Existing Credit Agreement as of the Effective Date and</w:t>
      </w:r>
    </w:p>
    <w:p>
      <w:pPr>
        <w:spacing w:after="0" w:line="1" w:lineRule="exact"/>
        <w:rPr>
          <w:sz w:val="20"/>
          <w:szCs w:val="20"/>
          <w:color w:val="auto"/>
        </w:rPr>
      </w:pPr>
    </w:p>
    <w:p>
      <w:pPr>
        <w:ind w:firstLine="1176"/>
        <w:spacing w:after="0" w:line="272" w:lineRule="auto"/>
        <w:tabs>
          <w:tab w:leader="none" w:pos="14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delayed draw term loan facility, in each case to be used for general corporate purposes, including to redeem the Company’s 3.000% Senior Notes due 2022;</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the parties hereto agree as follows:</w:t>
      </w:r>
    </w:p>
    <w:p>
      <w:pPr>
        <w:sectPr>
          <w:pgSz w:w="11900" w:h="16838" w:orient="portrait"/>
          <w:cols w:equalWidth="0" w:num="1">
            <w:col w:w="11240"/>
          </w:cols>
          <w:pgMar w:left="320" w:top="634" w:right="339" w:bottom="1440" w:gutter="0" w:footer="0" w:header="0"/>
        </w:sectPr>
      </w:pPr>
    </w:p>
    <w:bookmarkStart w:id="84" w:name="page85"/>
    <w:bookmarkEnd w:id="84"/>
    <w:p>
      <w:pPr>
        <w:ind w:left="5780"/>
        <w:spacing w:after="0"/>
        <w:rPr>
          <w:sz w:val="20"/>
          <w:szCs w:val="20"/>
          <w:color w:val="auto"/>
        </w:rPr>
      </w:pPr>
      <w:r>
        <w:rPr>
          <w:rFonts w:ascii="Times New Roman" w:cs="Times New Roman" w:eastAsia="Times New Roman" w:hAnsi="Times New Roman"/>
          <w:sz w:val="18"/>
          <w:szCs w:val="18"/>
          <w:color w:val="010000"/>
        </w:rPr>
        <w:t>ARTICLE I</w:t>
      </w:r>
    </w:p>
    <w:p>
      <w:pPr>
        <w:spacing w:after="0" w:line="2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2" w:lineRule="exact"/>
        <w:rPr>
          <w:sz w:val="20"/>
          <w:szCs w:val="20"/>
          <w:color w:val="auto"/>
        </w:rPr>
      </w:pPr>
    </w:p>
    <w:p>
      <w:pPr>
        <w:ind w:left="1180"/>
        <w:spacing w:after="0"/>
        <w:tabs>
          <w:tab w:leader="none" w:pos="2500" w:val="left"/>
          <w:tab w:leader="none" w:pos="3780" w:val="left"/>
        </w:tabs>
        <w:rPr>
          <w:sz w:val="20"/>
          <w:szCs w:val="20"/>
          <w:color w:val="auto"/>
        </w:rPr>
      </w:pPr>
      <w:r>
        <w:rPr>
          <w:rFonts w:ascii="Times New Roman" w:cs="Times New Roman" w:eastAsia="Times New Roman" w:hAnsi="Times New Roman"/>
          <w:sz w:val="18"/>
          <w:szCs w:val="18"/>
          <w:color w:val="010000"/>
        </w:rPr>
        <w:t>SECTION 1.01.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As used in this Agreement, the following terms have the meanings specified below:</w:t>
      </w:r>
    </w:p>
    <w:p>
      <w:pPr>
        <w:spacing w:after="0" w:line="235" w:lineRule="exact"/>
        <w:rPr>
          <w:sz w:val="20"/>
          <w:szCs w:val="20"/>
          <w:color w:val="auto"/>
        </w:rPr>
      </w:pPr>
    </w:p>
    <w:p>
      <w:pPr>
        <w:ind w:right="10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the Loans comprising such Borrowing, bearing interest at a rate determined by reference to the Alternate Base Rate.</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Rights</w:t>
      </w:r>
      <w:r>
        <w:rPr>
          <w:rFonts w:ascii="Times New Roman" w:cs="Times New Roman" w:eastAsia="Times New Roman" w:hAnsi="Times New Roman"/>
          <w:sz w:val="18"/>
          <w:szCs w:val="18"/>
          <w:color w:val="auto"/>
        </w:rPr>
        <w:t>” has the meaning assigned to such term in the definition of “Consolidated EBITDAR”.</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assigned to such term in Section 9.13.</w:t>
      </w:r>
    </w:p>
    <w:p>
      <w:pPr>
        <w:spacing w:after="0" w:line="222" w:lineRule="exact"/>
        <w:rPr>
          <w:sz w:val="20"/>
          <w:szCs w:val="20"/>
          <w:color w:val="auto"/>
        </w:rPr>
      </w:pPr>
    </w:p>
    <w:p>
      <w:pPr>
        <w:ind w:left="1180" w:right="400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has the meaning assigned to such term in Section 2.25(d).</w:t>
      </w:r>
    </w:p>
    <w:p>
      <w:pPr>
        <w:spacing w:after="0" w:line="168"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N.A. (including its branches and affiliates), in its capacity as administrative agent for the Lenders hereunder.</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35"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Party</w:t>
      </w:r>
      <w:r>
        <w:rPr>
          <w:rFonts w:ascii="Times New Roman" w:cs="Times New Roman" w:eastAsia="Times New Roman" w:hAnsi="Times New Roman"/>
          <w:sz w:val="18"/>
          <w:szCs w:val="18"/>
          <w:color w:val="auto"/>
        </w:rPr>
        <w:t>” has the meaning assigned to such term in Section 9.01(d).</w:t>
      </w:r>
    </w:p>
    <w:p>
      <w:pPr>
        <w:spacing w:after="0" w:line="235" w:lineRule="exact"/>
        <w:rPr>
          <w:sz w:val="20"/>
          <w:szCs w:val="20"/>
          <w:color w:val="auto"/>
        </w:rPr>
      </w:pPr>
    </w:p>
    <w:p>
      <w:pPr>
        <w:ind w:right="280"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xml:space="preserve">” means (i) Dollars, (ii) euro, (iii) Pounds Sterling, (iv) Japanese Yen and (v) each other currency that is approved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Agreed Currency of the type set forth in this clause (v), such requested currency is an Eligible Currency.</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means, for any day, a rate per annum equal to the greatest of</w:t>
      </w:r>
    </w:p>
    <w:p>
      <w:pPr>
        <w:spacing w:after="0" w:line="27" w:lineRule="exact"/>
        <w:rPr>
          <w:sz w:val="20"/>
          <w:szCs w:val="20"/>
          <w:color w:val="auto"/>
        </w:rPr>
      </w:pPr>
    </w:p>
    <w:p>
      <w:pPr>
        <w:jc w:val="both"/>
        <w:ind w:firstLine="1176"/>
        <w:spacing w:after="0" w:line="250" w:lineRule="auto"/>
        <w:tabs>
          <w:tab w:leader="none" w:pos="14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Prime Rate in effect on such day, (b) the Federal Funds Rate in effect on such day plus ½ of 1% and (c) Term SOFR for a one month Interest Period in Dollars on such day (or if such day is not a Business Day, the immediately preceding Business Day) plus 1% and, if the Alternate Base Rate is less than zero, such rate shall be deemed to be zero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Term SOFR for any day shall be based on the Term SOFR Screen Rate at approximately 11:00 a.m. New York time on such day, subject to the interest rate floors expressly set forth therein. If the Alternate Base Rate is being used as an alternate rate of interest pursuant to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color w:val="auto"/>
        </w:rPr>
      </w:pPr>
    </w:p>
    <w:p>
      <w:pPr>
        <w:jc w:val="both"/>
        <w:ind w:firstLine="117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hereof, then the Alternate Base Rate shall be the greater of clauses (a) and (b) above and shall be determined without reference to clause (c) above. Any change in the Alternate Base Rate due to a change in the Prime Rate, the Federal Funds Rate or Term SOFR shall be effective from and including the effective date of such change in the Prime Rate, the Federal Funds Rate or Term SOFR, respectively.</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means, for any day, with respect to any Loan:</w:t>
      </w:r>
    </w:p>
    <w:p>
      <w:pPr>
        <w:sectPr>
          <w:pgSz w:w="11900" w:h="16838" w:orient="portrait"/>
          <w:cols w:equalWidth="0" w:num="1">
            <w:col w:w="11240"/>
          </w:cols>
          <w:pgMar w:left="320" w:top="855" w:right="339" w:bottom="1440" w:gutter="0" w:footer="0" w:header="0"/>
        </w:sectPr>
      </w:pPr>
    </w:p>
    <w:bookmarkStart w:id="85" w:name="page86"/>
    <w:bookmarkEnd w:id="85"/>
    <w:p>
      <w:pPr>
        <w:ind w:left="1760" w:hanging="584"/>
        <w:spacing w:after="0"/>
        <w:tabs>
          <w:tab w:leader="none" w:pos="1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Pounds Sterling, the rate per annum equal to SONIA determined pursuant to the definition thereof; and</w:t>
      </w:r>
    </w:p>
    <w:p>
      <w:pPr>
        <w:spacing w:after="0" w:line="234" w:lineRule="exact"/>
        <w:rPr>
          <w:rFonts w:ascii="Times New Roman" w:cs="Times New Roman" w:eastAsia="Times New Roman" w:hAnsi="Times New Roman"/>
          <w:sz w:val="18"/>
          <w:szCs w:val="18"/>
          <w:color w:val="auto"/>
        </w:rPr>
      </w:pPr>
    </w:p>
    <w:p>
      <w:pPr>
        <w:jc w:val="both"/>
        <w:ind w:firstLine="1176"/>
        <w:spacing w:after="0" w:line="261" w:lineRule="auto"/>
        <w:tabs>
          <w:tab w:leader="none" w:pos="17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Foreign Currency (to the extent such Loans denominated in such currency will bear interest at a daily rate), the daily rate per annum as designated with respect to such Foreign Currency at the time such Foreign Currency is approved by the Administrative Agent and the relevant Lenders pursuant to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the Borrower and the relevant Lenders pursuant to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55"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 Foreign Currency.</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Borrowing or Letter of Credit:</w:t>
      </w:r>
    </w:p>
    <w:p>
      <w:pPr>
        <w:spacing w:after="0" w:line="235" w:lineRule="exact"/>
        <w:rPr>
          <w:sz w:val="20"/>
          <w:szCs w:val="20"/>
          <w:color w:val="auto"/>
        </w:rPr>
      </w:pPr>
    </w:p>
    <w:p>
      <w:pPr>
        <w:jc w:val="both"/>
        <w:ind w:firstLine="1176"/>
        <w:spacing w:after="0" w:line="256" w:lineRule="auto"/>
        <w:tabs>
          <w:tab w:leader="none" w:pos="17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TARGET2 Days preceding the first day of such Interest Period with a term equivalent to such Interest Period;</w:t>
      </w:r>
    </w:p>
    <w:p>
      <w:pPr>
        <w:spacing w:after="0" w:line="1" w:lineRule="exact"/>
        <w:rPr>
          <w:rFonts w:ascii="Times New Roman" w:cs="Times New Roman" w:eastAsia="Times New Roman" w:hAnsi="Times New Roman"/>
          <w:sz w:val="18"/>
          <w:szCs w:val="18"/>
          <w:color w:val="auto"/>
        </w:rPr>
      </w:pPr>
    </w:p>
    <w:p>
      <w:pPr>
        <w:jc w:val="both"/>
        <w:ind w:firstLine="1176"/>
        <w:spacing w:after="0" w:line="257" w:lineRule="auto"/>
        <w:tabs>
          <w:tab w:leader="none" w:pos="17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Quotation Day with a term equivalent to such Interest Period;</w:t>
      </w:r>
    </w:p>
    <w:p>
      <w:pPr>
        <w:spacing w:after="0" w:line="180" w:lineRule="exact"/>
        <w:rPr>
          <w:rFonts w:ascii="Times New Roman" w:cs="Times New Roman" w:eastAsia="Times New Roman" w:hAnsi="Times New Roman"/>
          <w:sz w:val="18"/>
          <w:szCs w:val="18"/>
          <w:color w:val="auto"/>
        </w:rPr>
      </w:pPr>
    </w:p>
    <w:p>
      <w:pPr>
        <w:jc w:val="both"/>
        <w:ind w:firstLine="1176"/>
        <w:spacing w:after="0" w:line="261" w:lineRule="auto"/>
        <w:tabs>
          <w:tab w:leader="none" w:pos="17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Foreign Currency (to the extent such Loans denominated in such currency will bear interest at a term rate), the term rate per annum as designated with respect to such Foreign Currency at the time such Foreign Currency is approved by the Administrative Agent and the relevant Lenders pursuant to </w:t>
      </w:r>
      <w:r>
        <w:rPr>
          <w:rFonts w:ascii="Times New Roman" w:cs="Times New Roman" w:eastAsia="Times New Roman" w:hAnsi="Times New Roman"/>
          <w:sz w:val="18"/>
          <w:szCs w:val="18"/>
          <w:u w:val="single" w:color="auto"/>
          <w:color w:val="auto"/>
        </w:rPr>
        <w:t>Section 1.06 plus</w:t>
      </w:r>
      <w:r>
        <w:rPr>
          <w:rFonts w:ascii="Times New Roman" w:cs="Times New Roman" w:eastAsia="Times New Roman" w:hAnsi="Times New Roman"/>
          <w:sz w:val="18"/>
          <w:szCs w:val="18"/>
          <w:color w:val="auto"/>
        </w:rPr>
        <w:t xml:space="preserve"> the adjustment (if any) determined by the Administrative Agent, the Borrower and the relevant Lenders pursuant to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15"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Loan that bears interest at a rate based on the definition of “Alternative Currency Term Rate.” All Alternative Currency Term Rate Loans must be denominated in a Foreign Currency.</w:t>
      </w:r>
    </w:p>
    <w:p>
      <w:pPr>
        <w:spacing w:after="0" w:line="179"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that certain Amendment No. 1 to Credit Agreement, dated as of August 30, 2023, among the Company, the lenders party thereto and Bank of America, N.A., as administrative agent.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means August 30, 2023.</w:t>
      </w:r>
    </w:p>
    <w:p>
      <w:pPr>
        <w:spacing w:after="0" w:line="235"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Company or its Subsidiaries from time to time concerning or relating to bribery or corruption.</w:t>
      </w:r>
    </w:p>
    <w:p>
      <w:pPr>
        <w:sectPr>
          <w:pgSz w:w="11900" w:h="16838" w:orient="portrait"/>
          <w:cols w:equalWidth="0" w:num="1">
            <w:col w:w="11240"/>
          </w:cols>
          <w:pgMar w:left="320" w:top="634" w:right="339" w:bottom="1440" w:gutter="0" w:footer="0" w:header="0"/>
        </w:sectPr>
      </w:pPr>
    </w:p>
    <w:bookmarkStart w:id="86" w:name="page87"/>
    <w:bookmarkEnd w:id="86"/>
    <w:p>
      <w:pPr>
        <w:jc w:val="both"/>
        <w:ind w:right="100"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and (b) with respect to any Foreign Currency, the applicable administrator for the Relevant Rate for such Foreign Currency or any Governmental Authority having jurisdiction over the Administrative Agent or such administrator.</w:t>
      </w:r>
    </w:p>
    <w:p>
      <w:pPr>
        <w:spacing w:after="0" w:line="1" w:lineRule="exact"/>
        <w:rPr>
          <w:sz w:val="20"/>
          <w:szCs w:val="20"/>
          <w:color w:val="auto"/>
        </w:rPr>
      </w:pPr>
    </w:p>
    <w:p>
      <w:pPr>
        <w:jc w:val="both"/>
        <w:ind w:right="100"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Maturity Date</w:t>
      </w:r>
      <w:r>
        <w:rPr>
          <w:rFonts w:ascii="Times New Roman" w:cs="Times New Roman" w:eastAsia="Times New Roman" w:hAnsi="Times New Roman"/>
          <w:sz w:val="18"/>
          <w:szCs w:val="18"/>
          <w:color w:val="auto"/>
        </w:rPr>
        <w:t>” has the meaning assigned to such term in Section 2.25(a). “</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with respect to Revolving</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Loans, LC Exposure or Swingline Loans, the percentage equal to a fraction the numerator of which is</w:t>
      </w:r>
    </w:p>
    <w:p>
      <w:pPr>
        <w:spacing w:after="0" w:line="11" w:lineRule="exact"/>
        <w:rPr>
          <w:sz w:val="20"/>
          <w:szCs w:val="20"/>
          <w:color w:val="auto"/>
        </w:rPr>
      </w:pPr>
    </w:p>
    <w:p>
      <w:pPr>
        <w:jc w:val="both"/>
        <w:ind w:right="100" w:firstLine="1178"/>
        <w:spacing w:after="0" w:line="254" w:lineRule="auto"/>
        <w:rPr>
          <w:sz w:val="20"/>
          <w:szCs w:val="20"/>
          <w:color w:val="auto"/>
        </w:rPr>
      </w:pPr>
      <w:r>
        <w:rPr>
          <w:rFonts w:ascii="Times New Roman" w:cs="Times New Roman" w:eastAsia="Times New Roman" w:hAnsi="Times New Roman"/>
          <w:sz w:val="18"/>
          <w:szCs w:val="18"/>
          <w:color w:val="auto"/>
        </w:rPr>
        <w:t xml:space="preserve">such Lender’s Commitment and the denominator of which is the aggregate Commitments of all Lenders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Section 2.24 when a Defaulting Lender shall exist, any such Defaulting Lender’s Commitment shall be disregarded in the calculation.</w:t>
      </w:r>
    </w:p>
    <w:p>
      <w:pPr>
        <w:spacing w:after="0" w:line="1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has the meaning assigned to such term in the definition of “Applicable Rate”.</w:t>
      </w:r>
    </w:p>
    <w:p>
      <w:pPr>
        <w:spacing w:after="0" w:line="222" w:lineRule="exact"/>
        <w:rPr>
          <w:sz w:val="20"/>
          <w:szCs w:val="20"/>
          <w:color w:val="auto"/>
        </w:rPr>
      </w:pPr>
    </w:p>
    <w:p>
      <w:pPr>
        <w:jc w:val="both"/>
        <w:ind w:right="100"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Term SOFR Loan, Alternative Currency Loan or any ABR Loan or with respect to the facility fees payable hereunder or with respect to any Commercial Letter of Credit, as the case may be, the applicable rate per annum set forth below under</w:t>
      </w:r>
    </w:p>
    <w:p>
      <w:pPr>
        <w:spacing w:after="0" w:line="1" w:lineRule="exact"/>
        <w:rPr>
          <w:sz w:val="20"/>
          <w:szCs w:val="20"/>
          <w:color w:val="auto"/>
        </w:rPr>
      </w:pPr>
    </w:p>
    <w:p>
      <w:pPr>
        <w:jc w:val="both"/>
        <w:ind w:right="100" w:firstLine="1178"/>
        <w:spacing w:after="0" w:line="272" w:lineRule="auto"/>
        <w:rPr>
          <w:sz w:val="20"/>
          <w:szCs w:val="20"/>
          <w:color w:val="auto"/>
        </w:rPr>
      </w:pPr>
      <w:r>
        <w:rPr>
          <w:rFonts w:ascii="Times New Roman" w:cs="Times New Roman" w:eastAsia="Times New Roman" w:hAnsi="Times New Roman"/>
          <w:sz w:val="18"/>
          <w:szCs w:val="18"/>
          <w:color w:val="auto"/>
        </w:rPr>
        <w:t>the caption “Term SOFR Spread”, “Alternative Currency Spread”, “ABR Spread”, “Facility Fee Rate” or “Commercial Letter of Credit Rate”, as the case may be, based upon the Gross Leverage Ratio applicable on such date:</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the case of any Revolving Loans or Letters of Credit hereunder:</w:t>
      </w:r>
    </w:p>
    <w:p>
      <w:pPr>
        <w:spacing w:after="0" w:line="260" w:lineRule="exact"/>
        <w:rPr>
          <w:sz w:val="20"/>
          <w:szCs w:val="20"/>
          <w:color w:val="auto"/>
        </w:rPr>
      </w:pPr>
    </w:p>
    <w:tbl>
      <w:tblPr>
        <w:tblLayout w:type="fixed"/>
        <w:tblInd w:w="1190" w:type="dxa"/>
        <w:tblCellMar>
          <w:top w:w="0" w:type="dxa"/>
          <w:left w:w="0" w:type="dxa"/>
          <w:bottom w:w="0" w:type="dxa"/>
          <w:right w:w="0" w:type="dxa"/>
        </w:tblCellMar>
      </w:tblPr>
      <w:tr>
        <w:trPr>
          <w:trHeight w:val="209"/>
        </w:trPr>
        <w:tc>
          <w:tcPr>
            <w:tcW w:w="60" w:type="dxa"/>
            <w:vAlign w:val="bottom"/>
            <w:tcBorders>
              <w:top w:val="single" w:sz="8" w:color="010101"/>
              <w:left w:val="single" w:sz="8" w:color="010101"/>
            </w:tcBorders>
          </w:tcPr>
          <w:p>
            <w:pPr>
              <w:spacing w:after="0"/>
              <w:rPr>
                <w:sz w:val="18"/>
                <w:szCs w:val="18"/>
                <w:color w:val="auto"/>
              </w:rPr>
            </w:pPr>
          </w:p>
        </w:tc>
        <w:tc>
          <w:tcPr>
            <w:tcW w:w="840" w:type="dxa"/>
            <w:vAlign w:val="bottom"/>
            <w:tcBorders>
              <w:top w:val="single" w:sz="8" w:color="010101"/>
            </w:tcBorders>
          </w:tcPr>
          <w:p>
            <w:pPr>
              <w:spacing w:after="0"/>
              <w:rPr>
                <w:sz w:val="18"/>
                <w:szCs w:val="18"/>
                <w:color w:val="auto"/>
              </w:rPr>
            </w:pPr>
          </w:p>
        </w:tc>
        <w:tc>
          <w:tcPr>
            <w:tcW w:w="700" w:type="dxa"/>
            <w:vAlign w:val="bottom"/>
            <w:tcBorders>
              <w:top w:val="single" w:sz="8" w:color="010101"/>
              <w:right w:val="single" w:sz="8" w:color="010101"/>
            </w:tcBorders>
          </w:tcPr>
          <w:p>
            <w:pPr>
              <w:spacing w:after="0"/>
              <w:rPr>
                <w:sz w:val="18"/>
                <w:szCs w:val="18"/>
                <w:color w:val="auto"/>
              </w:rPr>
            </w:pPr>
          </w:p>
        </w:tc>
        <w:tc>
          <w:tcPr>
            <w:tcW w:w="240" w:type="dxa"/>
            <w:vAlign w:val="bottom"/>
            <w:tcBorders>
              <w:top w:val="single" w:sz="8" w:color="010101"/>
            </w:tcBorders>
          </w:tcPr>
          <w:p>
            <w:pPr>
              <w:spacing w:after="0"/>
              <w:rPr>
                <w:sz w:val="18"/>
                <w:szCs w:val="18"/>
                <w:color w:val="auto"/>
              </w:rPr>
            </w:pPr>
          </w:p>
        </w:tc>
        <w:tc>
          <w:tcPr>
            <w:tcW w:w="460" w:type="dxa"/>
            <w:vAlign w:val="bottom"/>
            <w:tcBorders>
              <w:top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58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280" w:type="dxa"/>
            <w:vAlign w:val="bottom"/>
            <w:tcBorders>
              <w:top w:val="single" w:sz="8" w:color="010101"/>
            </w:tcBorders>
          </w:tcPr>
          <w:p>
            <w:pPr>
              <w:spacing w:after="0"/>
              <w:rPr>
                <w:sz w:val="18"/>
                <w:szCs w:val="18"/>
                <w:color w:val="auto"/>
              </w:rPr>
            </w:pPr>
          </w:p>
        </w:tc>
        <w:tc>
          <w:tcPr>
            <w:tcW w:w="640" w:type="dxa"/>
            <w:vAlign w:val="bottom"/>
            <w:tcBorders>
              <w:top w:val="single" w:sz="8" w:color="010101"/>
              <w:right w:val="single" w:sz="8" w:color="010101"/>
            </w:tcBorders>
          </w:tcPr>
          <w:p>
            <w:pPr>
              <w:spacing w:after="0"/>
              <w:rPr>
                <w:sz w:val="18"/>
                <w:szCs w:val="18"/>
                <w:color w:val="auto"/>
              </w:rPr>
            </w:pPr>
          </w:p>
        </w:tc>
        <w:tc>
          <w:tcPr>
            <w:tcW w:w="220" w:type="dxa"/>
            <w:vAlign w:val="bottom"/>
            <w:tcBorders>
              <w:top w:val="single" w:sz="8" w:color="010101"/>
            </w:tcBorders>
          </w:tcPr>
          <w:p>
            <w:pPr>
              <w:spacing w:after="0"/>
              <w:rPr>
                <w:sz w:val="18"/>
                <w:szCs w:val="18"/>
                <w:color w:val="auto"/>
              </w:rPr>
            </w:pPr>
          </w:p>
        </w:tc>
        <w:tc>
          <w:tcPr>
            <w:tcW w:w="12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26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320" w:type="dxa"/>
            <w:vAlign w:val="bottom"/>
            <w:tcBorders>
              <w:top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36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260" w:type="dxa"/>
            <w:vAlign w:val="bottom"/>
            <w:tcBorders>
              <w:top w:val="single" w:sz="8" w:color="010101"/>
              <w:right w:val="single" w:sz="8" w:color="010101"/>
            </w:tcBorders>
          </w:tcPr>
          <w:p>
            <w:pPr>
              <w:spacing w:after="0"/>
              <w:rPr>
                <w:sz w:val="18"/>
                <w:szCs w:val="18"/>
                <w:color w:val="auto"/>
              </w:rPr>
            </w:pPr>
          </w:p>
        </w:tc>
        <w:tc>
          <w:tcPr>
            <w:tcW w:w="580" w:type="dxa"/>
            <w:vAlign w:val="bottom"/>
            <w:tcBorders>
              <w:top w:val="single" w:sz="8" w:color="010101"/>
            </w:tcBorders>
          </w:tcPr>
          <w:p>
            <w:pPr>
              <w:spacing w:after="0"/>
              <w:rPr>
                <w:sz w:val="18"/>
                <w:szCs w:val="18"/>
                <w:color w:val="auto"/>
              </w:rPr>
            </w:pPr>
          </w:p>
        </w:tc>
        <w:tc>
          <w:tcPr>
            <w:tcW w:w="80" w:type="dxa"/>
            <w:vAlign w:val="bottom"/>
            <w:tcBorders>
              <w:top w:val="single" w:sz="8" w:color="010101"/>
            </w:tcBorders>
          </w:tcPr>
          <w:p>
            <w:pPr>
              <w:spacing w:after="0"/>
              <w:rPr>
                <w:sz w:val="18"/>
                <w:szCs w:val="18"/>
                <w:color w:val="auto"/>
              </w:rPr>
            </w:pPr>
          </w:p>
        </w:tc>
        <w:tc>
          <w:tcPr>
            <w:tcW w:w="420" w:type="dxa"/>
            <w:vAlign w:val="bottom"/>
            <w:tcBorders>
              <w:top w:val="single" w:sz="8" w:color="010101"/>
            </w:tcBorders>
          </w:tcPr>
          <w:p>
            <w:pPr>
              <w:spacing w:after="0"/>
              <w:rPr>
                <w:sz w:val="18"/>
                <w:szCs w:val="18"/>
                <w:color w:val="auto"/>
              </w:rPr>
            </w:pPr>
          </w:p>
        </w:tc>
        <w:tc>
          <w:tcPr>
            <w:tcW w:w="620" w:type="dxa"/>
            <w:vAlign w:val="bottom"/>
            <w:tcBorders>
              <w:top w:val="single" w:sz="8" w:color="010101"/>
              <w:right w:val="single" w:sz="8" w:color="010101"/>
            </w:tcBorders>
          </w:tcPr>
          <w:p>
            <w:pPr>
              <w:spacing w:after="0"/>
              <w:rPr>
                <w:sz w:val="18"/>
                <w:szCs w:val="18"/>
                <w:color w:val="auto"/>
              </w:rPr>
            </w:pPr>
          </w:p>
        </w:tc>
        <w:tc>
          <w:tcPr>
            <w:tcW w:w="240" w:type="dxa"/>
            <w:vAlign w:val="bottom"/>
            <w:tcBorders>
              <w:top w:val="single" w:sz="8" w:color="010101"/>
            </w:tcBorders>
          </w:tcPr>
          <w:p>
            <w:pPr>
              <w:spacing w:after="0"/>
              <w:rPr>
                <w:sz w:val="18"/>
                <w:szCs w:val="18"/>
                <w:color w:val="auto"/>
              </w:rPr>
            </w:pPr>
          </w:p>
        </w:tc>
        <w:tc>
          <w:tcPr>
            <w:tcW w:w="1640" w:type="dxa"/>
            <w:vAlign w:val="bottom"/>
            <w:tcBorders>
              <w:top w:val="single" w:sz="8" w:color="010101"/>
              <w:right w:val="single" w:sz="8" w:color="010101"/>
            </w:tcBorders>
            <w:gridSpan w:val="8"/>
          </w:tcPr>
          <w:p>
            <w:pPr>
              <w:spacing w:after="0"/>
              <w:rPr>
                <w:sz w:val="20"/>
                <w:szCs w:val="20"/>
                <w:color w:val="auto"/>
              </w:rPr>
            </w:pPr>
            <w:r>
              <w:rPr>
                <w:rFonts w:ascii="Times New Roman" w:cs="Times New Roman" w:eastAsia="Times New Roman" w:hAnsi="Times New Roman"/>
                <w:sz w:val="18"/>
                <w:szCs w:val="18"/>
                <w:color w:val="auto"/>
              </w:rPr>
              <w:t>Commercial Letter</w:t>
            </w:r>
          </w:p>
        </w:tc>
        <w:tc>
          <w:tcPr>
            <w:tcW w:w="280" w:type="dxa"/>
            <w:vAlign w:val="bottom"/>
            <w:tcBorders>
              <w:top w:val="single" w:sz="8" w:color="010101"/>
            </w:tcBorders>
          </w:tcPr>
          <w:p>
            <w:pPr>
              <w:spacing w:after="0"/>
              <w:rPr>
                <w:sz w:val="18"/>
                <w:szCs w:val="18"/>
                <w:color w:val="auto"/>
              </w:rPr>
            </w:pPr>
          </w:p>
        </w:tc>
        <w:tc>
          <w:tcPr>
            <w:tcW w:w="360" w:type="dxa"/>
            <w:vAlign w:val="bottom"/>
            <w:tcBorders>
              <w:top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010101"/>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right w:val="single" w:sz="8" w:color="01010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righ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10101"/>
            </w:tcBorders>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right w:val="single" w:sz="8" w:color="010101"/>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01010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left w:val="single" w:sz="8" w:color="010101"/>
            </w:tcBorders>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Borders>
              <w:right w:val="single" w:sz="8" w:color="010101"/>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010101"/>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right w:val="single" w:sz="8" w:color="010101"/>
            </w:tcBorders>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SOFR Spread</w:t>
            </w:r>
          </w:p>
        </w:tc>
        <w:tc>
          <w:tcPr>
            <w:tcW w:w="580" w:type="dxa"/>
            <w:vAlign w:val="bottom"/>
          </w:tcPr>
          <w:p>
            <w:pPr>
              <w:spacing w:after="0"/>
              <w:rPr>
                <w:sz w:val="16"/>
                <w:szCs w:val="16"/>
                <w:color w:val="auto"/>
              </w:rPr>
            </w:pPr>
          </w:p>
        </w:tc>
        <w:tc>
          <w:tcPr>
            <w:tcW w:w="1120" w:type="dxa"/>
            <w:vAlign w:val="bottom"/>
            <w:tcBorders>
              <w:right w:val="single" w:sz="8" w:color="010101"/>
            </w:tcBorders>
            <w:gridSpan w:val="3"/>
          </w:tcPr>
          <w:p>
            <w:pPr>
              <w:jc w:val="right"/>
              <w:ind w:right="680"/>
              <w:spacing w:after="0" w:line="189" w:lineRule="exact"/>
              <w:rPr>
                <w:sz w:val="20"/>
                <w:szCs w:val="20"/>
                <w:color w:val="auto"/>
              </w:rPr>
            </w:pPr>
            <w:r>
              <w:rPr>
                <w:rFonts w:ascii="Times New Roman" w:cs="Times New Roman" w:eastAsia="Times New Roman" w:hAnsi="Times New Roman"/>
                <w:sz w:val="18"/>
                <w:szCs w:val="18"/>
                <w:color w:val="auto"/>
              </w:rPr>
              <w:t>ABR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79"/>
              </w:rPr>
              <w:t>of</w:t>
            </w:r>
          </w:p>
        </w:tc>
        <w:tc>
          <w:tcPr>
            <w:tcW w:w="60" w:type="dxa"/>
            <w:vAlign w:val="bottom"/>
          </w:tcPr>
          <w:p>
            <w:pPr>
              <w:spacing w:after="0"/>
              <w:rPr>
                <w:sz w:val="16"/>
                <w:szCs w:val="16"/>
                <w:color w:val="auto"/>
              </w:rPr>
            </w:pPr>
          </w:p>
        </w:tc>
        <w:tc>
          <w:tcPr>
            <w:tcW w:w="82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6"/>
              </w:rPr>
              <w:t>Credit Rate</w:t>
            </w:r>
          </w:p>
        </w:tc>
        <w:tc>
          <w:tcPr>
            <w:tcW w:w="440" w:type="dxa"/>
            <w:vAlign w:val="bottom"/>
            <w:tcBorders>
              <w:right w:val="single" w:sz="8" w:color="010101"/>
            </w:tcBorders>
            <w:gridSpan w:val="2"/>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4"/>
              </w:rPr>
              <w:t>Facil</w:t>
            </w:r>
          </w:p>
        </w:tc>
        <w:tc>
          <w:tcPr>
            <w:tcW w:w="0" w:type="dxa"/>
            <w:vAlign w:val="bottom"/>
          </w:tcPr>
          <w:p>
            <w:pPr>
              <w:spacing w:after="0"/>
              <w:rPr>
                <w:sz w:val="1"/>
                <w:szCs w:val="1"/>
                <w:color w:val="auto"/>
              </w:rPr>
            </w:pPr>
          </w:p>
        </w:tc>
      </w:tr>
      <w:tr>
        <w:trPr>
          <w:trHeight w:val="20"/>
        </w:trPr>
        <w:tc>
          <w:tcPr>
            <w:tcW w:w="60" w:type="dxa"/>
            <w:vAlign w:val="bottom"/>
            <w:tcBorders>
              <w:left w:val="single" w:sz="8" w:color="010101"/>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right w:val="single" w:sz="8" w:color="010101"/>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10101"/>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010101"/>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01010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01010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Borders>
              <w:left w:val="single" w:sz="8" w:color="010101"/>
            </w:tcBorders>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Borders>
              <w:right w:val="single" w:sz="8" w:color="010101"/>
            </w:tcBorders>
          </w:tcPr>
          <w:p>
            <w:pPr>
              <w:spacing w:after="0"/>
              <w:rPr>
                <w:sz w:val="13"/>
                <w:szCs w:val="13"/>
                <w:color w:val="auto"/>
              </w:rPr>
            </w:pPr>
          </w:p>
        </w:tc>
        <w:tc>
          <w:tcPr>
            <w:tcW w:w="2440" w:type="dxa"/>
            <w:vAlign w:val="bottom"/>
            <w:tcBorders>
              <w:right w:val="single" w:sz="8" w:color="010101"/>
            </w:tcBorders>
            <w:gridSpan w:val="8"/>
          </w:tcPr>
          <w:p>
            <w:pPr>
              <w:ind w:left="240"/>
              <w:spacing w:after="0" w:line="157" w:lineRule="exact"/>
              <w:rPr>
                <w:sz w:val="20"/>
                <w:szCs w:val="20"/>
                <w:color w:val="auto"/>
              </w:rPr>
            </w:pPr>
            <w:r>
              <w:rPr>
                <w:rFonts w:ascii="Times New Roman" w:cs="Times New Roman" w:eastAsia="Times New Roman" w:hAnsi="Times New Roman"/>
                <w:sz w:val="18"/>
                <w:szCs w:val="18"/>
                <w:color w:val="auto"/>
              </w:rPr>
              <w:t>Gross Leverage Ratio: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Borders>
              <w:right w:val="single" w:sz="8" w:color="010101"/>
            </w:tcBorders>
            <w:gridSpan w:val="9"/>
          </w:tcPr>
          <w:p>
            <w:pPr>
              <w:spacing w:after="0" w:line="157" w:lineRule="exact"/>
              <w:rPr>
                <w:sz w:val="20"/>
                <w:szCs w:val="20"/>
                <w:color w:val="auto"/>
              </w:rPr>
            </w:pPr>
            <w:r>
              <w:rPr>
                <w:rFonts w:ascii="Times New Roman" w:cs="Times New Roman" w:eastAsia="Times New Roman" w:hAnsi="Times New Roman"/>
                <w:sz w:val="18"/>
                <w:szCs w:val="18"/>
                <w:color w:val="auto"/>
              </w:rPr>
              <w:t>and Alternative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w w:val="71"/>
              </w:rPr>
              <w:t>Spread</w:t>
            </w:r>
          </w:p>
        </w:tc>
        <w:tc>
          <w:tcPr>
            <w:tcW w:w="620" w:type="dxa"/>
            <w:vAlign w:val="bottom"/>
            <w:tcBorders>
              <w:right w:val="single" w:sz="8" w:color="010101"/>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right w:val="single" w:sz="8" w:color="010101"/>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010101"/>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right w:val="single" w:sz="8" w:color="01010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right w:val="single" w:sz="8" w:color="010101"/>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10101"/>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01010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01010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Borders>
              <w:left w:val="single" w:sz="8" w:color="010101"/>
            </w:tcBorders>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Borders>
              <w:right w:val="single" w:sz="8" w:color="010101"/>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right w:val="single" w:sz="8" w:color="010101"/>
            </w:tcBorders>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520" w:type="dxa"/>
            <w:vAlign w:val="bottom"/>
            <w:tcBorders>
              <w:right w:val="single" w:sz="8" w:color="010101"/>
            </w:tcBorders>
            <w:gridSpan w:val="9"/>
          </w:tcPr>
          <w:p>
            <w:pPr>
              <w:spacing w:after="0" w:line="157" w:lineRule="exact"/>
              <w:rPr>
                <w:sz w:val="20"/>
                <w:szCs w:val="20"/>
                <w:color w:val="auto"/>
              </w:rPr>
            </w:pPr>
            <w:r>
              <w:rPr>
                <w:rFonts w:ascii="Times New Roman" w:cs="Times New Roman" w:eastAsia="Times New Roman" w:hAnsi="Times New Roman"/>
                <w:sz w:val="18"/>
                <w:szCs w:val="18"/>
                <w:color w:val="auto"/>
              </w:rPr>
              <w:t>Currency Spread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Borders>
              <w:right w:val="single" w:sz="8" w:color="010101"/>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right w:val="single" w:sz="8" w:color="010101"/>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010101"/>
              <w:bottom w:val="single" w:sz="8" w:color="010101"/>
            </w:tcBorders>
          </w:tcPr>
          <w:p>
            <w:pPr>
              <w:spacing w:after="0"/>
              <w:rPr>
                <w:sz w:val="3"/>
                <w:szCs w:val="3"/>
                <w:color w:val="auto"/>
              </w:rPr>
            </w:pPr>
          </w:p>
        </w:tc>
        <w:tc>
          <w:tcPr>
            <w:tcW w:w="840" w:type="dxa"/>
            <w:vAlign w:val="bottom"/>
            <w:tcBorders>
              <w:bottom w:val="single" w:sz="8" w:color="010101"/>
            </w:tcBorders>
          </w:tcPr>
          <w:p>
            <w:pPr>
              <w:spacing w:after="0"/>
              <w:rPr>
                <w:sz w:val="3"/>
                <w:szCs w:val="3"/>
                <w:color w:val="auto"/>
              </w:rPr>
            </w:pPr>
          </w:p>
        </w:tc>
        <w:tc>
          <w:tcPr>
            <w:tcW w:w="700" w:type="dxa"/>
            <w:vAlign w:val="bottom"/>
            <w:tcBorders>
              <w:bottom w:val="single" w:sz="8" w:color="010101"/>
              <w:right w:val="single" w:sz="8" w:color="010101"/>
            </w:tcBorders>
          </w:tcPr>
          <w:p>
            <w:pPr>
              <w:spacing w:after="0"/>
              <w:rPr>
                <w:sz w:val="3"/>
                <w:szCs w:val="3"/>
                <w:color w:val="auto"/>
              </w:rPr>
            </w:pPr>
          </w:p>
        </w:tc>
        <w:tc>
          <w:tcPr>
            <w:tcW w:w="240" w:type="dxa"/>
            <w:vAlign w:val="bottom"/>
            <w:tcBorders>
              <w:bottom w:val="single" w:sz="8" w:color="010101"/>
            </w:tcBorders>
          </w:tcPr>
          <w:p>
            <w:pPr>
              <w:spacing w:after="0"/>
              <w:rPr>
                <w:sz w:val="3"/>
                <w:szCs w:val="3"/>
                <w:color w:val="auto"/>
              </w:rPr>
            </w:pPr>
          </w:p>
        </w:tc>
        <w:tc>
          <w:tcPr>
            <w:tcW w:w="46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80" w:type="dxa"/>
            <w:vAlign w:val="bottom"/>
            <w:tcBorders>
              <w:bottom w:val="single" w:sz="8" w:color="010101"/>
            </w:tcBorders>
          </w:tcPr>
          <w:p>
            <w:pPr>
              <w:spacing w:after="0"/>
              <w:rPr>
                <w:sz w:val="3"/>
                <w:szCs w:val="3"/>
                <w:color w:val="auto"/>
              </w:rPr>
            </w:pPr>
          </w:p>
        </w:tc>
        <w:tc>
          <w:tcPr>
            <w:tcW w:w="640" w:type="dxa"/>
            <w:vAlign w:val="bottom"/>
            <w:tcBorders>
              <w:bottom w:val="single" w:sz="8" w:color="010101"/>
              <w:right w:val="single" w:sz="8" w:color="010101"/>
            </w:tcBorders>
          </w:tcPr>
          <w:p>
            <w:pPr>
              <w:spacing w:after="0"/>
              <w:rPr>
                <w:sz w:val="3"/>
                <w:szCs w:val="3"/>
                <w:color w:val="auto"/>
              </w:rPr>
            </w:pPr>
          </w:p>
        </w:tc>
        <w:tc>
          <w:tcPr>
            <w:tcW w:w="2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top w:val="single" w:sz="8" w:color="auto"/>
              <w:bottom w:val="single" w:sz="8" w:color="010101"/>
            </w:tcBorders>
          </w:tcPr>
          <w:p>
            <w:pPr>
              <w:spacing w:after="0"/>
              <w:rPr>
                <w:sz w:val="3"/>
                <w:szCs w:val="3"/>
                <w:color w:val="auto"/>
              </w:rPr>
            </w:pPr>
          </w:p>
        </w:tc>
        <w:tc>
          <w:tcPr>
            <w:tcW w:w="260" w:type="dxa"/>
            <w:vAlign w:val="bottom"/>
            <w:tcBorders>
              <w:top w:val="single" w:sz="8" w:color="auto"/>
              <w:bottom w:val="single" w:sz="8" w:color="010101"/>
            </w:tcBorders>
          </w:tcPr>
          <w:p>
            <w:pPr>
              <w:spacing w:after="0"/>
              <w:rPr>
                <w:sz w:val="3"/>
                <w:szCs w:val="3"/>
                <w:color w:val="auto"/>
              </w:rPr>
            </w:pPr>
          </w:p>
        </w:tc>
        <w:tc>
          <w:tcPr>
            <w:tcW w:w="40" w:type="dxa"/>
            <w:vAlign w:val="bottom"/>
            <w:tcBorders>
              <w:top w:val="single" w:sz="8" w:color="auto"/>
              <w:bottom w:val="single" w:sz="8" w:color="010101"/>
            </w:tcBorders>
          </w:tcPr>
          <w:p>
            <w:pPr>
              <w:spacing w:after="0"/>
              <w:rPr>
                <w:sz w:val="3"/>
                <w:szCs w:val="3"/>
                <w:color w:val="auto"/>
              </w:rPr>
            </w:pPr>
          </w:p>
        </w:tc>
        <w:tc>
          <w:tcPr>
            <w:tcW w:w="320" w:type="dxa"/>
            <w:vAlign w:val="bottom"/>
            <w:tcBorders>
              <w:top w:val="single" w:sz="8" w:color="auto"/>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0" w:type="dxa"/>
            <w:vAlign w:val="bottom"/>
            <w:tcBorders>
              <w:top w:val="single" w:sz="8" w:color="auto"/>
              <w:bottom w:val="single" w:sz="8" w:color="010101"/>
            </w:tcBorders>
          </w:tcPr>
          <w:p>
            <w:pPr>
              <w:spacing w:after="0"/>
              <w:rPr>
                <w:sz w:val="3"/>
                <w:szCs w:val="3"/>
                <w:color w:val="auto"/>
              </w:rPr>
            </w:pPr>
          </w:p>
        </w:tc>
        <w:tc>
          <w:tcPr>
            <w:tcW w:w="360" w:type="dxa"/>
            <w:vAlign w:val="bottom"/>
            <w:tcBorders>
              <w:top w:val="single" w:sz="8" w:color="auto"/>
              <w:bottom w:val="single" w:sz="8" w:color="010101"/>
            </w:tcBorders>
          </w:tcPr>
          <w:p>
            <w:pPr>
              <w:spacing w:after="0"/>
              <w:rPr>
                <w:sz w:val="3"/>
                <w:szCs w:val="3"/>
                <w:color w:val="auto"/>
              </w:rPr>
            </w:pPr>
          </w:p>
        </w:tc>
        <w:tc>
          <w:tcPr>
            <w:tcW w:w="40" w:type="dxa"/>
            <w:vAlign w:val="bottom"/>
            <w:tcBorders>
              <w:top w:val="single" w:sz="8" w:color="auto"/>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60" w:type="dxa"/>
            <w:vAlign w:val="bottom"/>
            <w:tcBorders>
              <w:bottom w:val="single" w:sz="8" w:color="010101"/>
              <w:right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420" w:type="dxa"/>
            <w:vAlign w:val="bottom"/>
            <w:tcBorders>
              <w:bottom w:val="single" w:sz="8" w:color="010101"/>
            </w:tcBorders>
          </w:tcPr>
          <w:p>
            <w:pPr>
              <w:spacing w:after="0"/>
              <w:rPr>
                <w:sz w:val="3"/>
                <w:szCs w:val="3"/>
                <w:color w:val="auto"/>
              </w:rPr>
            </w:pPr>
          </w:p>
        </w:tc>
        <w:tc>
          <w:tcPr>
            <w:tcW w:w="620" w:type="dxa"/>
            <w:vAlign w:val="bottom"/>
            <w:tcBorders>
              <w:bottom w:val="single" w:sz="8" w:color="010101"/>
              <w:right w:val="single" w:sz="8" w:color="010101"/>
            </w:tcBorders>
          </w:tcPr>
          <w:p>
            <w:pPr>
              <w:spacing w:after="0"/>
              <w:rPr>
                <w:sz w:val="3"/>
                <w:szCs w:val="3"/>
                <w:color w:val="auto"/>
              </w:rPr>
            </w:pPr>
          </w:p>
        </w:tc>
        <w:tc>
          <w:tcPr>
            <w:tcW w:w="240" w:type="dxa"/>
            <w:vAlign w:val="bottom"/>
            <w:tcBorders>
              <w:bottom w:val="single" w:sz="8" w:color="010101"/>
            </w:tcBorders>
          </w:tcPr>
          <w:p>
            <w:pPr>
              <w:spacing w:after="0"/>
              <w:rPr>
                <w:sz w:val="3"/>
                <w:szCs w:val="3"/>
                <w:color w:val="auto"/>
              </w:rPr>
            </w:pPr>
          </w:p>
        </w:tc>
        <w:tc>
          <w:tcPr>
            <w:tcW w:w="18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60" w:type="dxa"/>
            <w:vAlign w:val="bottom"/>
            <w:tcBorders>
              <w:bottom w:val="single" w:sz="8" w:color="010101"/>
            </w:tcBorders>
          </w:tcPr>
          <w:p>
            <w:pPr>
              <w:spacing w:after="0"/>
              <w:rPr>
                <w:sz w:val="3"/>
                <w:szCs w:val="3"/>
                <w:color w:val="auto"/>
              </w:rPr>
            </w:pPr>
          </w:p>
        </w:tc>
        <w:tc>
          <w:tcPr>
            <w:tcW w:w="5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260" w:type="dxa"/>
            <w:vAlign w:val="bottom"/>
            <w:tcBorders>
              <w:bottom w:val="single" w:sz="8" w:color="010101"/>
            </w:tcBorders>
          </w:tcPr>
          <w:p>
            <w:pPr>
              <w:spacing w:after="0"/>
              <w:rPr>
                <w:sz w:val="3"/>
                <w:szCs w:val="3"/>
                <w:color w:val="auto"/>
              </w:rPr>
            </w:pPr>
          </w:p>
        </w:tc>
        <w:tc>
          <w:tcPr>
            <w:tcW w:w="160" w:type="dxa"/>
            <w:vAlign w:val="bottom"/>
            <w:tcBorders>
              <w:bottom w:val="single" w:sz="8" w:color="010101"/>
            </w:tcBorders>
          </w:tcPr>
          <w:p>
            <w:pPr>
              <w:spacing w:after="0"/>
              <w:rPr>
                <w:sz w:val="3"/>
                <w:szCs w:val="3"/>
                <w:color w:val="auto"/>
              </w:rPr>
            </w:pPr>
          </w:p>
        </w:tc>
        <w:tc>
          <w:tcPr>
            <w:tcW w:w="280" w:type="dxa"/>
            <w:vAlign w:val="bottom"/>
            <w:tcBorders>
              <w:bottom w:val="single" w:sz="8" w:color="010101"/>
              <w:right w:val="single" w:sz="8" w:color="010101"/>
            </w:tcBorders>
          </w:tcPr>
          <w:p>
            <w:pPr>
              <w:spacing w:after="0"/>
              <w:rPr>
                <w:sz w:val="3"/>
                <w:szCs w:val="3"/>
                <w:color w:val="auto"/>
              </w:rPr>
            </w:pPr>
          </w:p>
        </w:tc>
        <w:tc>
          <w:tcPr>
            <w:tcW w:w="280" w:type="dxa"/>
            <w:vAlign w:val="bottom"/>
            <w:tcBorders>
              <w:bottom w:val="single" w:sz="8" w:color="010101"/>
            </w:tcBorders>
          </w:tcPr>
          <w:p>
            <w:pPr>
              <w:spacing w:after="0"/>
              <w:rPr>
                <w:sz w:val="3"/>
                <w:szCs w:val="3"/>
                <w:color w:val="auto"/>
              </w:rPr>
            </w:pPr>
          </w:p>
        </w:tc>
        <w:tc>
          <w:tcPr>
            <w:tcW w:w="360" w:type="dxa"/>
            <w:vAlign w:val="bottom"/>
            <w:tcBorders>
              <w:bottom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600" w:type="dxa"/>
            <w:vAlign w:val="bottom"/>
            <w:tcBorders>
              <w:left w:val="single" w:sz="8" w:color="010101"/>
              <w:right w:val="single" w:sz="8" w:color="010101"/>
            </w:tcBorders>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Category 1:</w:t>
            </w:r>
          </w:p>
        </w:tc>
        <w:tc>
          <w:tcPr>
            <w:tcW w:w="240" w:type="dxa"/>
            <w:vAlign w:val="bottom"/>
          </w:tcPr>
          <w:p>
            <w:pPr>
              <w:spacing w:after="0"/>
              <w:rPr>
                <w:sz w:val="16"/>
                <w:szCs w:val="16"/>
                <w:color w:val="auto"/>
              </w:rPr>
            </w:pPr>
          </w:p>
        </w:tc>
        <w:tc>
          <w:tcPr>
            <w:tcW w:w="2200" w:type="dxa"/>
            <w:vAlign w:val="bottom"/>
            <w:tcBorders>
              <w:right w:val="single" w:sz="8" w:color="010101"/>
            </w:tcBorders>
            <w:gridSpan w:val="7"/>
          </w:tcPr>
          <w:p>
            <w:pPr>
              <w:ind w:left="460"/>
              <w:spacing w:after="0" w:line="189" w:lineRule="exact"/>
              <w:rPr>
                <w:sz w:val="20"/>
                <w:szCs w:val="20"/>
                <w:color w:val="auto"/>
              </w:rPr>
            </w:pPr>
            <w:r>
              <w:rPr>
                <w:rFonts w:ascii="Times New Roman" w:cs="Times New Roman" w:eastAsia="Times New Roman" w:hAnsi="Times New Roman"/>
                <w:sz w:val="18"/>
                <w:szCs w:val="18"/>
                <w:color w:val="auto"/>
              </w:rPr>
              <w:t>&lt; 1.75 to 1.00</w:t>
            </w:r>
          </w:p>
        </w:tc>
        <w:tc>
          <w:tcPr>
            <w:tcW w:w="1500" w:type="dxa"/>
            <w:vAlign w:val="bottom"/>
            <w:gridSpan w:val="9"/>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rPr>
              <w:t>0.805%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010101"/>
            </w:tcBorders>
          </w:tcPr>
          <w:p>
            <w:pPr>
              <w:spacing w:after="0"/>
              <w:rPr>
                <w:sz w:val="16"/>
                <w:szCs w:val="16"/>
                <w:color w:val="auto"/>
              </w:rPr>
            </w:pPr>
          </w:p>
        </w:tc>
        <w:tc>
          <w:tcPr>
            <w:tcW w:w="10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620" w:type="dxa"/>
            <w:vAlign w:val="bottom"/>
            <w:tcBorders>
              <w:right w:val="single" w:sz="8" w:color="010101"/>
            </w:tcBorders>
          </w:tcPr>
          <w:p>
            <w:pPr>
              <w:spacing w:after="0"/>
              <w:rPr>
                <w:sz w:val="16"/>
                <w:szCs w:val="16"/>
                <w:color w:val="auto"/>
              </w:rPr>
            </w:pPr>
          </w:p>
        </w:tc>
        <w:tc>
          <w:tcPr>
            <w:tcW w:w="1440" w:type="dxa"/>
            <w:vAlign w:val="bottom"/>
            <w:gridSpan w:val="7"/>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9"/>
              </w:rPr>
              <w:t>0.3675%</w:t>
            </w:r>
          </w:p>
        </w:tc>
        <w:tc>
          <w:tcPr>
            <w:tcW w:w="160" w:type="dxa"/>
            <w:vAlign w:val="bottom"/>
          </w:tcPr>
          <w:p>
            <w:pPr>
              <w:spacing w:after="0"/>
              <w:rPr>
                <w:sz w:val="16"/>
                <w:szCs w:val="16"/>
                <w:color w:val="auto"/>
              </w:rPr>
            </w:pPr>
          </w:p>
        </w:tc>
        <w:tc>
          <w:tcPr>
            <w:tcW w:w="280" w:type="dxa"/>
            <w:vAlign w:val="bottom"/>
            <w:tcBorders>
              <w:right w:val="single" w:sz="8" w:color="010101"/>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010101"/>
              <w:bottom w:val="single" w:sz="8" w:color="010101"/>
            </w:tcBorders>
          </w:tcPr>
          <w:p>
            <w:pPr>
              <w:spacing w:after="0"/>
              <w:rPr>
                <w:sz w:val="4"/>
                <w:szCs w:val="4"/>
                <w:color w:val="auto"/>
              </w:rPr>
            </w:pPr>
          </w:p>
        </w:tc>
        <w:tc>
          <w:tcPr>
            <w:tcW w:w="840" w:type="dxa"/>
            <w:vAlign w:val="bottom"/>
            <w:tcBorders>
              <w:top w:val="single" w:sz="8" w:color="auto"/>
              <w:bottom w:val="single" w:sz="8" w:color="010101"/>
            </w:tcBorders>
          </w:tcPr>
          <w:p>
            <w:pPr>
              <w:spacing w:after="0"/>
              <w:rPr>
                <w:sz w:val="4"/>
                <w:szCs w:val="4"/>
                <w:color w:val="auto"/>
              </w:rPr>
            </w:pPr>
          </w:p>
        </w:tc>
        <w:tc>
          <w:tcPr>
            <w:tcW w:w="70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00" w:type="dxa"/>
            <w:vAlign w:val="bottom"/>
            <w:tcBorders>
              <w:top w:val="single" w:sz="8" w:color="auto"/>
              <w:bottom w:val="single" w:sz="8" w:color="010101"/>
            </w:tcBorders>
          </w:tcPr>
          <w:p>
            <w:pPr>
              <w:spacing w:after="0"/>
              <w:rPr>
                <w:sz w:val="4"/>
                <w:szCs w:val="4"/>
                <w:color w:val="auto"/>
              </w:rPr>
            </w:pPr>
          </w:p>
        </w:tc>
        <w:tc>
          <w:tcPr>
            <w:tcW w:w="58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640" w:type="dxa"/>
            <w:vAlign w:val="bottom"/>
            <w:tcBorders>
              <w:bottom w:val="single" w:sz="8" w:color="010101"/>
              <w:right w:val="single" w:sz="8" w:color="010101"/>
            </w:tcBorders>
          </w:tcPr>
          <w:p>
            <w:pPr>
              <w:spacing w:after="0"/>
              <w:rPr>
                <w:sz w:val="4"/>
                <w:szCs w:val="4"/>
                <w:color w:val="auto"/>
              </w:rPr>
            </w:pPr>
          </w:p>
        </w:tc>
        <w:tc>
          <w:tcPr>
            <w:tcW w:w="220" w:type="dxa"/>
            <w:vAlign w:val="bottom"/>
            <w:tcBorders>
              <w:bottom w:val="single" w:sz="8" w:color="010101"/>
            </w:tcBorders>
          </w:tcPr>
          <w:p>
            <w:pPr>
              <w:spacing w:after="0"/>
              <w:rPr>
                <w:sz w:val="4"/>
                <w:szCs w:val="4"/>
                <w:color w:val="auto"/>
              </w:rPr>
            </w:pPr>
          </w:p>
        </w:tc>
        <w:tc>
          <w:tcPr>
            <w:tcW w:w="12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2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60" w:type="dxa"/>
            <w:vAlign w:val="bottom"/>
            <w:tcBorders>
              <w:bottom w:val="single" w:sz="8" w:color="010101"/>
              <w:right w:val="single" w:sz="8" w:color="010101"/>
            </w:tcBorders>
          </w:tcPr>
          <w:p>
            <w:pPr>
              <w:spacing w:after="0"/>
              <w:rPr>
                <w:sz w:val="4"/>
                <w:szCs w:val="4"/>
                <w:color w:val="auto"/>
              </w:rPr>
            </w:pPr>
          </w:p>
        </w:tc>
        <w:tc>
          <w:tcPr>
            <w:tcW w:w="58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62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180" w:type="dxa"/>
            <w:vAlign w:val="bottom"/>
            <w:tcBorders>
              <w:bottom w:val="single" w:sz="8" w:color="010101"/>
            </w:tcBorders>
          </w:tcPr>
          <w:p>
            <w:pPr>
              <w:spacing w:after="0"/>
              <w:rPr>
                <w:sz w:val="4"/>
                <w:szCs w:val="4"/>
                <w:color w:val="auto"/>
              </w:rPr>
            </w:pPr>
          </w:p>
        </w:tc>
        <w:tc>
          <w:tcPr>
            <w:tcW w:w="1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80" w:type="dxa"/>
            <w:vAlign w:val="bottom"/>
            <w:tcBorders>
              <w:bottom w:val="single" w:sz="8" w:color="010101"/>
              <w:right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0" w:type="dxa"/>
            <w:vAlign w:val="bottom"/>
            <w:tcBorders>
              <w:left w:val="single" w:sz="8" w:color="010101"/>
              <w:right w:val="single" w:sz="8" w:color="010101"/>
            </w:tcBorders>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Category 2:</w:t>
            </w:r>
          </w:p>
        </w:tc>
        <w:tc>
          <w:tcPr>
            <w:tcW w:w="2440" w:type="dxa"/>
            <w:vAlign w:val="bottom"/>
            <w:tcBorders>
              <w:right w:val="single" w:sz="8" w:color="010101"/>
            </w:tcBorders>
            <w:gridSpan w:val="8"/>
          </w:tcPr>
          <w:p>
            <w:pPr>
              <w:jc w:val="center"/>
              <w:ind w:right="820"/>
              <w:spacing w:after="0" w:line="189" w:lineRule="exact"/>
              <w:rPr>
                <w:sz w:val="20"/>
                <w:szCs w:val="20"/>
                <w:color w:val="auto"/>
              </w:rPr>
            </w:pPr>
            <w:r>
              <w:rPr>
                <w:rFonts w:ascii="Times New Roman" w:cs="Times New Roman" w:eastAsia="Times New Roman" w:hAnsi="Times New Roman"/>
                <w:sz w:val="18"/>
                <w:szCs w:val="18"/>
                <w:color w:val="auto"/>
                <w:w w:val="99"/>
              </w:rPr>
              <w:t>&gt; 1.75 to 1.00 but &lt;</w:t>
            </w:r>
          </w:p>
        </w:tc>
        <w:tc>
          <w:tcPr>
            <w:tcW w:w="1500" w:type="dxa"/>
            <w:vAlign w:val="bottom"/>
            <w:gridSpan w:val="9"/>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rPr>
              <w:t>0.91%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010101"/>
            </w:tcBorders>
          </w:tcPr>
          <w:p>
            <w:pPr>
              <w:spacing w:after="0"/>
              <w:rPr>
                <w:sz w:val="16"/>
                <w:szCs w:val="16"/>
                <w:color w:val="auto"/>
              </w:rPr>
            </w:pPr>
          </w:p>
        </w:tc>
        <w:tc>
          <w:tcPr>
            <w:tcW w:w="10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620" w:type="dxa"/>
            <w:vAlign w:val="bottom"/>
            <w:tcBorders>
              <w:right w:val="single" w:sz="8" w:color="010101"/>
            </w:tcBorders>
          </w:tcPr>
          <w:p>
            <w:pPr>
              <w:spacing w:after="0"/>
              <w:rPr>
                <w:sz w:val="16"/>
                <w:szCs w:val="16"/>
                <w:color w:val="auto"/>
              </w:rPr>
            </w:pPr>
          </w:p>
        </w:tc>
        <w:tc>
          <w:tcPr>
            <w:tcW w:w="1180" w:type="dxa"/>
            <w:vAlign w:val="bottom"/>
            <w:gridSpan w:val="6"/>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8"/>
              </w:rPr>
              <w:t>0.41%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010101"/>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4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2.25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220" w:type="dxa"/>
            <w:vAlign w:val="bottom"/>
            <w:tcBorders>
              <w:bottom w:val="single" w:sz="8" w:color="010101"/>
            </w:tcBorders>
          </w:tcPr>
          <w:p>
            <w:pPr>
              <w:spacing w:after="0"/>
              <w:rPr>
                <w:sz w:val="19"/>
                <w:szCs w:val="19"/>
                <w:color w:val="auto"/>
              </w:rPr>
            </w:pPr>
          </w:p>
        </w:tc>
        <w:tc>
          <w:tcPr>
            <w:tcW w:w="1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2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right w:val="single" w:sz="8" w:color="010101"/>
            </w:tcBorders>
          </w:tcPr>
          <w:p>
            <w:pPr>
              <w:spacing w:after="0"/>
              <w:rPr>
                <w:sz w:val="19"/>
                <w:szCs w:val="19"/>
                <w:color w:val="auto"/>
              </w:rPr>
            </w:pPr>
          </w:p>
        </w:tc>
        <w:tc>
          <w:tcPr>
            <w:tcW w:w="580" w:type="dxa"/>
            <w:vAlign w:val="bottom"/>
            <w:tcBorders>
              <w:bottom w:val="single" w:sz="8" w:color="010101"/>
            </w:tcBorders>
          </w:tcPr>
          <w:p>
            <w:pPr>
              <w:spacing w:after="0"/>
              <w:rPr>
                <w:sz w:val="19"/>
                <w:szCs w:val="19"/>
                <w:color w:val="auto"/>
              </w:rPr>
            </w:pPr>
          </w:p>
        </w:tc>
        <w:tc>
          <w:tcPr>
            <w:tcW w:w="80" w:type="dxa"/>
            <w:vAlign w:val="bottom"/>
            <w:tcBorders>
              <w:bottom w:val="single" w:sz="8" w:color="010101"/>
            </w:tcBorders>
          </w:tcPr>
          <w:p>
            <w:pPr>
              <w:spacing w:after="0"/>
              <w:rPr>
                <w:sz w:val="19"/>
                <w:szCs w:val="19"/>
                <w:color w:val="auto"/>
              </w:rPr>
            </w:pPr>
          </w:p>
        </w:tc>
        <w:tc>
          <w:tcPr>
            <w:tcW w:w="420" w:type="dxa"/>
            <w:vAlign w:val="bottom"/>
            <w:tcBorders>
              <w:bottom w:val="single" w:sz="8" w:color="010101"/>
            </w:tcBorders>
          </w:tcPr>
          <w:p>
            <w:pPr>
              <w:spacing w:after="0"/>
              <w:rPr>
                <w:sz w:val="19"/>
                <w:szCs w:val="19"/>
                <w:color w:val="auto"/>
              </w:rPr>
            </w:pPr>
          </w:p>
        </w:tc>
        <w:tc>
          <w:tcPr>
            <w:tcW w:w="62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80" w:type="dxa"/>
            <w:vAlign w:val="bottom"/>
            <w:tcBorders>
              <w:bottom w:val="single" w:sz="8" w:color="010101"/>
            </w:tcBorders>
          </w:tcPr>
          <w:p>
            <w:pPr>
              <w:spacing w:after="0"/>
              <w:rPr>
                <w:sz w:val="19"/>
                <w:szCs w:val="19"/>
                <w:color w:val="auto"/>
              </w:rPr>
            </w:pPr>
          </w:p>
        </w:tc>
        <w:tc>
          <w:tcPr>
            <w:tcW w:w="14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5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80" w:type="dxa"/>
            <w:vAlign w:val="bottom"/>
            <w:tcBorders>
              <w:bottom w:val="single" w:sz="8" w:color="010101"/>
              <w:right w:val="single" w:sz="8" w:color="010101"/>
            </w:tcBorders>
          </w:tcPr>
          <w:p>
            <w:pPr>
              <w:spacing w:after="0"/>
              <w:rPr>
                <w:sz w:val="19"/>
                <w:szCs w:val="19"/>
                <w:color w:val="auto"/>
              </w:rPr>
            </w:pPr>
          </w:p>
        </w:tc>
        <w:tc>
          <w:tcPr>
            <w:tcW w:w="28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600" w:type="dxa"/>
            <w:vAlign w:val="bottom"/>
            <w:tcBorders>
              <w:left w:val="single" w:sz="8" w:color="010101"/>
              <w:right w:val="single" w:sz="8" w:color="010101"/>
            </w:tcBorders>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rPr>
              <w:t>Category 3:</w:t>
            </w:r>
          </w:p>
        </w:tc>
        <w:tc>
          <w:tcPr>
            <w:tcW w:w="2440" w:type="dxa"/>
            <w:vAlign w:val="bottom"/>
            <w:tcBorders>
              <w:right w:val="single" w:sz="8" w:color="010101"/>
            </w:tcBorders>
            <w:gridSpan w:val="8"/>
          </w:tcPr>
          <w:p>
            <w:pPr>
              <w:jc w:val="center"/>
              <w:ind w:right="820"/>
              <w:spacing w:after="0" w:line="192" w:lineRule="exact"/>
              <w:rPr>
                <w:sz w:val="20"/>
                <w:szCs w:val="20"/>
                <w:color w:val="auto"/>
              </w:rPr>
            </w:pPr>
            <w:r>
              <w:rPr>
                <w:rFonts w:ascii="Times New Roman" w:cs="Times New Roman" w:eastAsia="Times New Roman" w:hAnsi="Times New Roman"/>
                <w:sz w:val="18"/>
                <w:szCs w:val="18"/>
                <w:color w:val="auto"/>
                <w:w w:val="99"/>
              </w:rPr>
              <w:t>&gt; 2.25 to 1.00 but &lt;</w:t>
            </w:r>
          </w:p>
        </w:tc>
        <w:tc>
          <w:tcPr>
            <w:tcW w:w="1500" w:type="dxa"/>
            <w:vAlign w:val="bottom"/>
            <w:gridSpan w:val="9"/>
          </w:tcPr>
          <w:p>
            <w:pPr>
              <w:jc w:val="center"/>
              <w:ind w:left="290"/>
              <w:spacing w:after="0" w:line="192" w:lineRule="exact"/>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010101"/>
            </w:tcBorders>
          </w:tcPr>
          <w:p>
            <w:pPr>
              <w:spacing w:after="0"/>
              <w:rPr>
                <w:sz w:val="16"/>
                <w:szCs w:val="16"/>
                <w:color w:val="auto"/>
              </w:rPr>
            </w:pPr>
          </w:p>
        </w:tc>
        <w:tc>
          <w:tcPr>
            <w:tcW w:w="1700" w:type="dxa"/>
            <w:vAlign w:val="bottom"/>
            <w:tcBorders>
              <w:right w:val="single" w:sz="8" w:color="010101"/>
            </w:tcBorders>
            <w:gridSpan w:val="4"/>
          </w:tcPr>
          <w:p>
            <w:pPr>
              <w:jc w:val="center"/>
              <w:ind w:right="20"/>
              <w:spacing w:after="0" w:line="192" w:lineRule="exact"/>
              <w:rPr>
                <w:sz w:val="20"/>
                <w:szCs w:val="20"/>
                <w:color w:val="auto"/>
              </w:rPr>
            </w:pPr>
            <w:r>
              <w:rPr>
                <w:rFonts w:ascii="Times New Roman" w:cs="Times New Roman" w:eastAsia="Times New Roman" w:hAnsi="Times New Roman"/>
                <w:sz w:val="18"/>
                <w:szCs w:val="18"/>
                <w:color w:val="auto"/>
              </w:rPr>
              <w:t>0.015%</w:t>
            </w:r>
          </w:p>
        </w:tc>
        <w:tc>
          <w:tcPr>
            <w:tcW w:w="1440" w:type="dxa"/>
            <w:vAlign w:val="bottom"/>
            <w:gridSpan w:val="7"/>
          </w:tcPr>
          <w:p>
            <w:pPr>
              <w:jc w:val="center"/>
              <w:ind w:left="310"/>
              <w:spacing w:after="0" w:line="192" w:lineRule="exact"/>
              <w:rPr>
                <w:sz w:val="20"/>
                <w:szCs w:val="20"/>
                <w:color w:val="auto"/>
              </w:rPr>
            </w:pPr>
            <w:r>
              <w:rPr>
                <w:rFonts w:ascii="Times New Roman" w:cs="Times New Roman" w:eastAsia="Times New Roman" w:hAnsi="Times New Roman"/>
                <w:sz w:val="18"/>
                <w:szCs w:val="18"/>
                <w:color w:val="auto"/>
                <w:w w:val="99"/>
              </w:rPr>
              <w:t>0.4525%</w:t>
            </w:r>
          </w:p>
        </w:tc>
        <w:tc>
          <w:tcPr>
            <w:tcW w:w="160" w:type="dxa"/>
            <w:vAlign w:val="bottom"/>
          </w:tcPr>
          <w:p>
            <w:pPr>
              <w:spacing w:after="0"/>
              <w:rPr>
                <w:sz w:val="16"/>
                <w:szCs w:val="16"/>
                <w:color w:val="auto"/>
              </w:rPr>
            </w:pPr>
          </w:p>
        </w:tc>
        <w:tc>
          <w:tcPr>
            <w:tcW w:w="280" w:type="dxa"/>
            <w:vAlign w:val="bottom"/>
            <w:tcBorders>
              <w:right w:val="single" w:sz="8" w:color="010101"/>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4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2.75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220" w:type="dxa"/>
            <w:vAlign w:val="bottom"/>
            <w:tcBorders>
              <w:bottom w:val="single" w:sz="8" w:color="010101"/>
            </w:tcBorders>
          </w:tcPr>
          <w:p>
            <w:pPr>
              <w:spacing w:after="0"/>
              <w:rPr>
                <w:sz w:val="19"/>
                <w:szCs w:val="19"/>
                <w:color w:val="auto"/>
              </w:rPr>
            </w:pPr>
          </w:p>
        </w:tc>
        <w:tc>
          <w:tcPr>
            <w:tcW w:w="1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2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right w:val="single" w:sz="8" w:color="010101"/>
            </w:tcBorders>
          </w:tcPr>
          <w:p>
            <w:pPr>
              <w:spacing w:after="0"/>
              <w:rPr>
                <w:sz w:val="19"/>
                <w:szCs w:val="19"/>
                <w:color w:val="auto"/>
              </w:rPr>
            </w:pPr>
          </w:p>
        </w:tc>
        <w:tc>
          <w:tcPr>
            <w:tcW w:w="580" w:type="dxa"/>
            <w:vAlign w:val="bottom"/>
            <w:tcBorders>
              <w:bottom w:val="single" w:sz="8" w:color="010101"/>
            </w:tcBorders>
          </w:tcPr>
          <w:p>
            <w:pPr>
              <w:spacing w:after="0"/>
              <w:rPr>
                <w:sz w:val="19"/>
                <w:szCs w:val="19"/>
                <w:color w:val="auto"/>
              </w:rPr>
            </w:pPr>
          </w:p>
        </w:tc>
        <w:tc>
          <w:tcPr>
            <w:tcW w:w="80" w:type="dxa"/>
            <w:vAlign w:val="bottom"/>
            <w:tcBorders>
              <w:bottom w:val="single" w:sz="8" w:color="010101"/>
            </w:tcBorders>
          </w:tcPr>
          <w:p>
            <w:pPr>
              <w:spacing w:after="0"/>
              <w:rPr>
                <w:sz w:val="19"/>
                <w:szCs w:val="19"/>
                <w:color w:val="auto"/>
              </w:rPr>
            </w:pPr>
          </w:p>
        </w:tc>
        <w:tc>
          <w:tcPr>
            <w:tcW w:w="420" w:type="dxa"/>
            <w:vAlign w:val="bottom"/>
            <w:tcBorders>
              <w:bottom w:val="single" w:sz="8" w:color="010101"/>
            </w:tcBorders>
          </w:tcPr>
          <w:p>
            <w:pPr>
              <w:spacing w:after="0"/>
              <w:rPr>
                <w:sz w:val="19"/>
                <w:szCs w:val="19"/>
                <w:color w:val="auto"/>
              </w:rPr>
            </w:pPr>
          </w:p>
        </w:tc>
        <w:tc>
          <w:tcPr>
            <w:tcW w:w="62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80" w:type="dxa"/>
            <w:vAlign w:val="bottom"/>
            <w:tcBorders>
              <w:bottom w:val="single" w:sz="8" w:color="010101"/>
            </w:tcBorders>
          </w:tcPr>
          <w:p>
            <w:pPr>
              <w:spacing w:after="0"/>
              <w:rPr>
                <w:sz w:val="19"/>
                <w:szCs w:val="19"/>
                <w:color w:val="auto"/>
              </w:rPr>
            </w:pPr>
          </w:p>
        </w:tc>
        <w:tc>
          <w:tcPr>
            <w:tcW w:w="14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5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80" w:type="dxa"/>
            <w:vAlign w:val="bottom"/>
            <w:tcBorders>
              <w:bottom w:val="single" w:sz="8" w:color="010101"/>
              <w:right w:val="single" w:sz="8" w:color="010101"/>
            </w:tcBorders>
          </w:tcPr>
          <w:p>
            <w:pPr>
              <w:spacing w:after="0"/>
              <w:rPr>
                <w:sz w:val="19"/>
                <w:szCs w:val="19"/>
                <w:color w:val="auto"/>
              </w:rPr>
            </w:pPr>
          </w:p>
        </w:tc>
        <w:tc>
          <w:tcPr>
            <w:tcW w:w="28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600" w:type="dxa"/>
            <w:vAlign w:val="bottom"/>
            <w:tcBorders>
              <w:left w:val="single" w:sz="8" w:color="010101"/>
              <w:right w:val="single" w:sz="8" w:color="010101"/>
            </w:tcBorders>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rPr>
              <w:t>Category 4:</w:t>
            </w:r>
          </w:p>
        </w:tc>
        <w:tc>
          <w:tcPr>
            <w:tcW w:w="2440" w:type="dxa"/>
            <w:vAlign w:val="bottom"/>
            <w:tcBorders>
              <w:right w:val="single" w:sz="8" w:color="010101"/>
            </w:tcBorders>
            <w:gridSpan w:val="8"/>
          </w:tcPr>
          <w:p>
            <w:pPr>
              <w:jc w:val="center"/>
              <w:ind w:right="820"/>
              <w:spacing w:after="0" w:line="192" w:lineRule="exact"/>
              <w:rPr>
                <w:sz w:val="20"/>
                <w:szCs w:val="20"/>
                <w:color w:val="auto"/>
              </w:rPr>
            </w:pPr>
            <w:r>
              <w:rPr>
                <w:rFonts w:ascii="Times New Roman" w:cs="Times New Roman" w:eastAsia="Times New Roman" w:hAnsi="Times New Roman"/>
                <w:sz w:val="18"/>
                <w:szCs w:val="18"/>
                <w:color w:val="auto"/>
                <w:w w:val="99"/>
              </w:rPr>
              <w:t>&gt; 2.75 to 1.00 but &lt;</w:t>
            </w:r>
          </w:p>
        </w:tc>
        <w:tc>
          <w:tcPr>
            <w:tcW w:w="1500" w:type="dxa"/>
            <w:vAlign w:val="bottom"/>
            <w:gridSpan w:val="9"/>
          </w:tcPr>
          <w:p>
            <w:pPr>
              <w:jc w:val="center"/>
              <w:ind w:left="290"/>
              <w:spacing w:after="0" w:line="192" w:lineRule="exact"/>
              <w:rPr>
                <w:sz w:val="20"/>
                <w:szCs w:val="20"/>
                <w:color w:val="auto"/>
              </w:rPr>
            </w:pPr>
            <w:r>
              <w:rPr>
                <w:rFonts w:ascii="Times New Roman" w:cs="Times New Roman" w:eastAsia="Times New Roman" w:hAnsi="Times New Roman"/>
                <w:sz w:val="18"/>
                <w:szCs w:val="18"/>
                <w:color w:val="auto"/>
              </w:rPr>
              <w:t>1.125%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010101"/>
            </w:tcBorders>
          </w:tcPr>
          <w:p>
            <w:pPr>
              <w:spacing w:after="0"/>
              <w:rPr>
                <w:sz w:val="16"/>
                <w:szCs w:val="16"/>
                <w:color w:val="auto"/>
              </w:rPr>
            </w:pPr>
          </w:p>
        </w:tc>
        <w:tc>
          <w:tcPr>
            <w:tcW w:w="1700" w:type="dxa"/>
            <w:vAlign w:val="bottom"/>
            <w:tcBorders>
              <w:right w:val="single" w:sz="8" w:color="010101"/>
            </w:tcBorders>
            <w:gridSpan w:val="4"/>
          </w:tcPr>
          <w:p>
            <w:pPr>
              <w:jc w:val="center"/>
              <w:ind w:right="20"/>
              <w:spacing w:after="0" w:line="192" w:lineRule="exact"/>
              <w:rPr>
                <w:sz w:val="20"/>
                <w:szCs w:val="20"/>
                <w:color w:val="auto"/>
              </w:rPr>
            </w:pPr>
            <w:r>
              <w:rPr>
                <w:rFonts w:ascii="Times New Roman" w:cs="Times New Roman" w:eastAsia="Times New Roman" w:hAnsi="Times New Roman"/>
                <w:sz w:val="18"/>
                <w:szCs w:val="18"/>
                <w:color w:val="auto"/>
              </w:rPr>
              <w:t>0.125%</w:t>
            </w:r>
          </w:p>
        </w:tc>
        <w:tc>
          <w:tcPr>
            <w:tcW w:w="1140" w:type="dxa"/>
            <w:vAlign w:val="bottom"/>
            <w:gridSpan w:val="5"/>
          </w:tcPr>
          <w:p>
            <w:pPr>
              <w:jc w:val="center"/>
              <w:ind w:left="630"/>
              <w:spacing w:after="0" w:line="192" w:lineRule="exact"/>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010101"/>
            </w:tcBorders>
          </w:tcPr>
          <w:p>
            <w:pPr>
              <w:spacing w:after="0"/>
              <w:rPr>
                <w:sz w:val="16"/>
                <w:szCs w:val="16"/>
                <w:color w:val="auto"/>
              </w:rPr>
            </w:pPr>
          </w:p>
        </w:tc>
        <w:tc>
          <w:tcPr>
            <w:tcW w:w="64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4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3.50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220" w:type="dxa"/>
            <w:vAlign w:val="bottom"/>
            <w:tcBorders>
              <w:bottom w:val="single" w:sz="8" w:color="010101"/>
            </w:tcBorders>
          </w:tcPr>
          <w:p>
            <w:pPr>
              <w:spacing w:after="0"/>
              <w:rPr>
                <w:sz w:val="19"/>
                <w:szCs w:val="19"/>
                <w:color w:val="auto"/>
              </w:rPr>
            </w:pPr>
          </w:p>
        </w:tc>
        <w:tc>
          <w:tcPr>
            <w:tcW w:w="1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2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10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right w:val="single" w:sz="8" w:color="010101"/>
            </w:tcBorders>
          </w:tcPr>
          <w:p>
            <w:pPr>
              <w:spacing w:after="0"/>
              <w:rPr>
                <w:sz w:val="19"/>
                <w:szCs w:val="19"/>
                <w:color w:val="auto"/>
              </w:rPr>
            </w:pPr>
          </w:p>
        </w:tc>
        <w:tc>
          <w:tcPr>
            <w:tcW w:w="580" w:type="dxa"/>
            <w:vAlign w:val="bottom"/>
            <w:tcBorders>
              <w:bottom w:val="single" w:sz="8" w:color="010101"/>
            </w:tcBorders>
          </w:tcPr>
          <w:p>
            <w:pPr>
              <w:spacing w:after="0"/>
              <w:rPr>
                <w:sz w:val="19"/>
                <w:szCs w:val="19"/>
                <w:color w:val="auto"/>
              </w:rPr>
            </w:pPr>
          </w:p>
        </w:tc>
        <w:tc>
          <w:tcPr>
            <w:tcW w:w="80" w:type="dxa"/>
            <w:vAlign w:val="bottom"/>
            <w:tcBorders>
              <w:bottom w:val="single" w:sz="8" w:color="010101"/>
            </w:tcBorders>
          </w:tcPr>
          <w:p>
            <w:pPr>
              <w:spacing w:after="0"/>
              <w:rPr>
                <w:sz w:val="19"/>
                <w:szCs w:val="19"/>
                <w:color w:val="auto"/>
              </w:rPr>
            </w:pPr>
          </w:p>
        </w:tc>
        <w:tc>
          <w:tcPr>
            <w:tcW w:w="420" w:type="dxa"/>
            <w:vAlign w:val="bottom"/>
            <w:tcBorders>
              <w:bottom w:val="single" w:sz="8" w:color="010101"/>
            </w:tcBorders>
          </w:tcPr>
          <w:p>
            <w:pPr>
              <w:spacing w:after="0"/>
              <w:rPr>
                <w:sz w:val="19"/>
                <w:szCs w:val="19"/>
                <w:color w:val="auto"/>
              </w:rPr>
            </w:pPr>
          </w:p>
        </w:tc>
        <w:tc>
          <w:tcPr>
            <w:tcW w:w="62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80" w:type="dxa"/>
            <w:vAlign w:val="bottom"/>
            <w:tcBorders>
              <w:bottom w:val="single" w:sz="8" w:color="010101"/>
            </w:tcBorders>
          </w:tcPr>
          <w:p>
            <w:pPr>
              <w:spacing w:after="0"/>
              <w:rPr>
                <w:sz w:val="19"/>
                <w:szCs w:val="19"/>
                <w:color w:val="auto"/>
              </w:rPr>
            </w:pPr>
          </w:p>
        </w:tc>
        <w:tc>
          <w:tcPr>
            <w:tcW w:w="14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52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260" w:type="dxa"/>
            <w:vAlign w:val="bottom"/>
            <w:tcBorders>
              <w:bottom w:val="single" w:sz="8" w:color="010101"/>
            </w:tcBorders>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80" w:type="dxa"/>
            <w:vAlign w:val="bottom"/>
            <w:tcBorders>
              <w:bottom w:val="single" w:sz="8" w:color="010101"/>
              <w:right w:val="single" w:sz="8" w:color="010101"/>
            </w:tcBorders>
          </w:tcPr>
          <w:p>
            <w:pPr>
              <w:spacing w:after="0"/>
              <w:rPr>
                <w:sz w:val="19"/>
                <w:szCs w:val="19"/>
                <w:color w:val="auto"/>
              </w:rPr>
            </w:pPr>
          </w:p>
        </w:tc>
        <w:tc>
          <w:tcPr>
            <w:tcW w:w="28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600" w:type="dxa"/>
            <w:vAlign w:val="bottom"/>
            <w:tcBorders>
              <w:left w:val="single" w:sz="8" w:color="010101"/>
              <w:right w:val="single" w:sz="8" w:color="010101"/>
            </w:tcBorders>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rPr>
              <w:t>Category 5:</w:t>
            </w:r>
          </w:p>
        </w:tc>
        <w:tc>
          <w:tcPr>
            <w:tcW w:w="240" w:type="dxa"/>
            <w:vAlign w:val="bottom"/>
          </w:tcPr>
          <w:p>
            <w:pPr>
              <w:spacing w:after="0"/>
              <w:rPr>
                <w:sz w:val="16"/>
                <w:szCs w:val="16"/>
                <w:color w:val="auto"/>
              </w:rPr>
            </w:pPr>
          </w:p>
        </w:tc>
        <w:tc>
          <w:tcPr>
            <w:tcW w:w="2200" w:type="dxa"/>
            <w:vAlign w:val="bottom"/>
            <w:tcBorders>
              <w:right w:val="single" w:sz="8" w:color="010101"/>
            </w:tcBorders>
            <w:gridSpan w:val="7"/>
          </w:tcPr>
          <w:p>
            <w:pPr>
              <w:ind w:left="460"/>
              <w:spacing w:after="0" w:line="192" w:lineRule="exact"/>
              <w:rPr>
                <w:sz w:val="20"/>
                <w:szCs w:val="20"/>
                <w:color w:val="auto"/>
              </w:rPr>
            </w:pPr>
            <w:r>
              <w:rPr>
                <w:rFonts w:ascii="Times New Roman" w:cs="Times New Roman" w:eastAsia="Times New Roman" w:hAnsi="Times New Roman"/>
                <w:sz w:val="18"/>
                <w:szCs w:val="18"/>
                <w:color w:val="auto"/>
              </w:rPr>
              <w:t>&gt; 3.50 to 1.00</w:t>
            </w:r>
          </w:p>
        </w:tc>
        <w:tc>
          <w:tcPr>
            <w:tcW w:w="1500" w:type="dxa"/>
            <w:vAlign w:val="bottom"/>
            <w:gridSpan w:val="9"/>
          </w:tcPr>
          <w:p>
            <w:pPr>
              <w:jc w:val="center"/>
              <w:ind w:left="290"/>
              <w:spacing w:after="0" w:line="192" w:lineRule="exact"/>
              <w:rPr>
                <w:sz w:val="20"/>
                <w:szCs w:val="20"/>
                <w:color w:val="auto"/>
              </w:rPr>
            </w:pPr>
            <w:r>
              <w:rPr>
                <w:rFonts w:ascii="Times New Roman" w:cs="Times New Roman" w:eastAsia="Times New Roman" w:hAnsi="Times New Roman"/>
                <w:sz w:val="18"/>
                <w:szCs w:val="18"/>
                <w:color w:val="auto"/>
              </w:rPr>
              <w:t>1.225%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010101"/>
            </w:tcBorders>
          </w:tcPr>
          <w:p>
            <w:pPr>
              <w:spacing w:after="0"/>
              <w:rPr>
                <w:sz w:val="16"/>
                <w:szCs w:val="16"/>
                <w:color w:val="auto"/>
              </w:rPr>
            </w:pPr>
          </w:p>
        </w:tc>
        <w:tc>
          <w:tcPr>
            <w:tcW w:w="1700" w:type="dxa"/>
            <w:vAlign w:val="bottom"/>
            <w:tcBorders>
              <w:right w:val="single" w:sz="8" w:color="010101"/>
            </w:tcBorders>
            <w:gridSpan w:val="4"/>
          </w:tcPr>
          <w:p>
            <w:pPr>
              <w:jc w:val="center"/>
              <w:ind w:right="20"/>
              <w:spacing w:after="0" w:line="192" w:lineRule="exact"/>
              <w:rPr>
                <w:sz w:val="20"/>
                <w:szCs w:val="20"/>
                <w:color w:val="auto"/>
              </w:rPr>
            </w:pPr>
            <w:r>
              <w:rPr>
                <w:rFonts w:ascii="Times New Roman" w:cs="Times New Roman" w:eastAsia="Times New Roman" w:hAnsi="Times New Roman"/>
                <w:sz w:val="18"/>
                <w:szCs w:val="18"/>
                <w:color w:val="auto"/>
              </w:rPr>
              <w:t>0.225%</w:t>
            </w:r>
          </w:p>
        </w:tc>
        <w:tc>
          <w:tcPr>
            <w:tcW w:w="1440" w:type="dxa"/>
            <w:vAlign w:val="bottom"/>
            <w:gridSpan w:val="7"/>
          </w:tcPr>
          <w:p>
            <w:pPr>
              <w:jc w:val="center"/>
              <w:ind w:left="310"/>
              <w:spacing w:after="0" w:line="192" w:lineRule="exact"/>
              <w:rPr>
                <w:sz w:val="20"/>
                <w:szCs w:val="20"/>
                <w:color w:val="auto"/>
              </w:rPr>
            </w:pPr>
            <w:r>
              <w:rPr>
                <w:rFonts w:ascii="Times New Roman" w:cs="Times New Roman" w:eastAsia="Times New Roman" w:hAnsi="Times New Roman"/>
                <w:sz w:val="18"/>
                <w:szCs w:val="18"/>
                <w:color w:val="auto"/>
                <w:w w:val="99"/>
              </w:rPr>
              <w:t>0.5375%</w:t>
            </w:r>
          </w:p>
        </w:tc>
        <w:tc>
          <w:tcPr>
            <w:tcW w:w="160" w:type="dxa"/>
            <w:vAlign w:val="bottom"/>
          </w:tcPr>
          <w:p>
            <w:pPr>
              <w:spacing w:after="0"/>
              <w:rPr>
                <w:sz w:val="16"/>
                <w:szCs w:val="16"/>
                <w:color w:val="auto"/>
              </w:rPr>
            </w:pPr>
          </w:p>
        </w:tc>
        <w:tc>
          <w:tcPr>
            <w:tcW w:w="280" w:type="dxa"/>
            <w:vAlign w:val="bottom"/>
            <w:tcBorders>
              <w:right w:val="single" w:sz="8" w:color="010101"/>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010101"/>
              <w:bottom w:val="single" w:sz="8" w:color="010101"/>
            </w:tcBorders>
          </w:tcPr>
          <w:p>
            <w:pPr>
              <w:spacing w:after="0"/>
              <w:rPr>
                <w:sz w:val="4"/>
                <w:szCs w:val="4"/>
                <w:color w:val="auto"/>
              </w:rPr>
            </w:pPr>
          </w:p>
        </w:tc>
        <w:tc>
          <w:tcPr>
            <w:tcW w:w="840" w:type="dxa"/>
            <w:vAlign w:val="bottom"/>
            <w:tcBorders>
              <w:top w:val="single" w:sz="8" w:color="auto"/>
              <w:bottom w:val="single" w:sz="8" w:color="010101"/>
            </w:tcBorders>
          </w:tcPr>
          <w:p>
            <w:pPr>
              <w:spacing w:after="0"/>
              <w:rPr>
                <w:sz w:val="4"/>
                <w:szCs w:val="4"/>
                <w:color w:val="auto"/>
              </w:rPr>
            </w:pPr>
          </w:p>
        </w:tc>
        <w:tc>
          <w:tcPr>
            <w:tcW w:w="70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58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640" w:type="dxa"/>
            <w:vAlign w:val="bottom"/>
            <w:tcBorders>
              <w:bottom w:val="single" w:sz="8" w:color="010101"/>
              <w:right w:val="single" w:sz="8" w:color="010101"/>
            </w:tcBorders>
          </w:tcPr>
          <w:p>
            <w:pPr>
              <w:spacing w:after="0"/>
              <w:rPr>
                <w:sz w:val="4"/>
                <w:szCs w:val="4"/>
                <w:color w:val="auto"/>
              </w:rPr>
            </w:pPr>
          </w:p>
        </w:tc>
        <w:tc>
          <w:tcPr>
            <w:tcW w:w="220" w:type="dxa"/>
            <w:vAlign w:val="bottom"/>
            <w:tcBorders>
              <w:bottom w:val="single" w:sz="8" w:color="010101"/>
            </w:tcBorders>
          </w:tcPr>
          <w:p>
            <w:pPr>
              <w:spacing w:after="0"/>
              <w:rPr>
                <w:sz w:val="4"/>
                <w:szCs w:val="4"/>
                <w:color w:val="auto"/>
              </w:rPr>
            </w:pPr>
          </w:p>
        </w:tc>
        <w:tc>
          <w:tcPr>
            <w:tcW w:w="12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2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60" w:type="dxa"/>
            <w:vAlign w:val="bottom"/>
            <w:tcBorders>
              <w:bottom w:val="single" w:sz="8" w:color="010101"/>
              <w:right w:val="single" w:sz="8" w:color="010101"/>
            </w:tcBorders>
          </w:tcPr>
          <w:p>
            <w:pPr>
              <w:spacing w:after="0"/>
              <w:rPr>
                <w:sz w:val="4"/>
                <w:szCs w:val="4"/>
                <w:color w:val="auto"/>
              </w:rPr>
            </w:pPr>
          </w:p>
        </w:tc>
        <w:tc>
          <w:tcPr>
            <w:tcW w:w="58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62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180" w:type="dxa"/>
            <w:vAlign w:val="bottom"/>
            <w:tcBorders>
              <w:bottom w:val="single" w:sz="8" w:color="010101"/>
            </w:tcBorders>
          </w:tcPr>
          <w:p>
            <w:pPr>
              <w:spacing w:after="0"/>
              <w:rPr>
                <w:sz w:val="4"/>
                <w:szCs w:val="4"/>
                <w:color w:val="auto"/>
              </w:rPr>
            </w:pPr>
          </w:p>
        </w:tc>
        <w:tc>
          <w:tcPr>
            <w:tcW w:w="1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80" w:type="dxa"/>
            <w:vAlign w:val="bottom"/>
            <w:tcBorders>
              <w:bottom w:val="single" w:sz="8" w:color="010101"/>
              <w:right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634" w:right="239" w:bottom="1440" w:gutter="0" w:footer="0" w:header="0"/>
        </w:sectPr>
      </w:pPr>
    </w:p>
    <w:bookmarkStart w:id="87" w:name="page88"/>
    <w:bookmarkEnd w:id="87"/>
    <w:p>
      <w:pPr>
        <w:ind w:left="1180"/>
        <w:spacing w:after="0"/>
        <w:rPr>
          <w:sz w:val="20"/>
          <w:szCs w:val="20"/>
          <w:color w:val="auto"/>
        </w:rPr>
      </w:pPr>
      <w:r>
        <w:rPr>
          <w:rFonts w:ascii="Times New Roman" w:cs="Times New Roman" w:eastAsia="Times New Roman" w:hAnsi="Times New Roman"/>
          <w:sz w:val="18"/>
          <w:szCs w:val="18"/>
          <w:color w:val="auto"/>
        </w:rPr>
        <w:t>In the case of any Delayed Draw Term Loans hereunder:</w:t>
      </w:r>
    </w:p>
    <w:p>
      <w:pPr>
        <w:spacing w:after="0" w:line="260" w:lineRule="exact"/>
        <w:rPr>
          <w:sz w:val="20"/>
          <w:szCs w:val="20"/>
          <w:color w:val="auto"/>
        </w:rPr>
      </w:pPr>
    </w:p>
    <w:tbl>
      <w:tblPr>
        <w:tblLayout w:type="fixed"/>
        <w:tblInd w:w="2410" w:type="dxa"/>
        <w:tblCellMar>
          <w:top w:w="0" w:type="dxa"/>
          <w:left w:w="0" w:type="dxa"/>
          <w:bottom w:w="0" w:type="dxa"/>
          <w:right w:w="0" w:type="dxa"/>
        </w:tblCellMar>
      </w:tblPr>
      <w:tr>
        <w:trPr>
          <w:trHeight w:val="442"/>
        </w:trPr>
        <w:tc>
          <w:tcPr>
            <w:tcW w:w="60" w:type="dxa"/>
            <w:vAlign w:val="bottom"/>
            <w:tcBorders>
              <w:top w:val="single" w:sz="8" w:color="010101"/>
              <w:left w:val="single" w:sz="8" w:color="010101"/>
            </w:tcBorders>
          </w:tcPr>
          <w:p>
            <w:pPr>
              <w:spacing w:after="0"/>
              <w:rPr>
                <w:sz w:val="24"/>
                <w:szCs w:val="24"/>
                <w:color w:val="auto"/>
              </w:rPr>
            </w:pPr>
          </w:p>
        </w:tc>
        <w:tc>
          <w:tcPr>
            <w:tcW w:w="860" w:type="dxa"/>
            <w:vAlign w:val="bottom"/>
            <w:tcBorders>
              <w:top w:val="single" w:sz="8" w:color="010101"/>
            </w:tcBorders>
          </w:tcPr>
          <w:p>
            <w:pPr>
              <w:spacing w:after="0"/>
              <w:rPr>
                <w:sz w:val="24"/>
                <w:szCs w:val="24"/>
                <w:color w:val="auto"/>
              </w:rPr>
            </w:pPr>
          </w:p>
        </w:tc>
        <w:tc>
          <w:tcPr>
            <w:tcW w:w="700" w:type="dxa"/>
            <w:vAlign w:val="bottom"/>
            <w:tcBorders>
              <w:top w:val="single" w:sz="8" w:color="010101"/>
              <w:right w:val="single" w:sz="8" w:color="010101"/>
            </w:tcBorders>
          </w:tcPr>
          <w:p>
            <w:pPr>
              <w:spacing w:after="0"/>
              <w:rPr>
                <w:sz w:val="24"/>
                <w:szCs w:val="24"/>
                <w:color w:val="auto"/>
              </w:rPr>
            </w:pPr>
          </w:p>
        </w:tc>
        <w:tc>
          <w:tcPr>
            <w:tcW w:w="2440" w:type="dxa"/>
            <w:vAlign w:val="bottom"/>
            <w:tcBorders>
              <w:top w:val="single" w:sz="8" w:color="010101"/>
              <w:right w:val="single" w:sz="8" w:color="010101"/>
            </w:tcBorders>
            <w:gridSpan w:val="8"/>
          </w:tcPr>
          <w:p>
            <w:pPr>
              <w:ind w:left="240"/>
              <w:spacing w:after="0"/>
              <w:rPr>
                <w:sz w:val="20"/>
                <w:szCs w:val="20"/>
                <w:color w:val="auto"/>
              </w:rPr>
            </w:pPr>
            <w:r>
              <w:rPr>
                <w:rFonts w:ascii="Times New Roman" w:cs="Times New Roman" w:eastAsia="Times New Roman" w:hAnsi="Times New Roman"/>
                <w:sz w:val="18"/>
                <w:szCs w:val="18"/>
                <w:color w:val="auto"/>
              </w:rPr>
              <w:t>Gross Leverage Ratio:</w:t>
            </w:r>
          </w:p>
        </w:tc>
        <w:tc>
          <w:tcPr>
            <w:tcW w:w="160" w:type="dxa"/>
            <w:vAlign w:val="bottom"/>
            <w:tcBorders>
              <w:top w:val="single" w:sz="8" w:color="010101"/>
            </w:tcBorders>
          </w:tcPr>
          <w:p>
            <w:pPr>
              <w:spacing w:after="0"/>
              <w:rPr>
                <w:sz w:val="24"/>
                <w:szCs w:val="24"/>
                <w:color w:val="auto"/>
              </w:rPr>
            </w:pPr>
          </w:p>
        </w:tc>
        <w:tc>
          <w:tcPr>
            <w:tcW w:w="20" w:type="dxa"/>
            <w:vAlign w:val="bottom"/>
            <w:tcBorders>
              <w:top w:val="single" w:sz="8" w:color="010101"/>
            </w:tcBorders>
          </w:tcPr>
          <w:p>
            <w:pPr>
              <w:spacing w:after="0"/>
              <w:rPr>
                <w:sz w:val="24"/>
                <w:szCs w:val="24"/>
                <w:color w:val="auto"/>
              </w:rPr>
            </w:pPr>
          </w:p>
        </w:tc>
        <w:tc>
          <w:tcPr>
            <w:tcW w:w="1720" w:type="dxa"/>
            <w:vAlign w:val="bottom"/>
            <w:tcBorders>
              <w:top w:val="single" w:sz="8" w:color="010101"/>
              <w:right w:val="single" w:sz="8" w:color="010101"/>
            </w:tcBorders>
            <w:gridSpan w:val="5"/>
          </w:tcPr>
          <w:p>
            <w:pPr>
              <w:spacing w:after="0"/>
              <w:rPr>
                <w:sz w:val="20"/>
                <w:szCs w:val="20"/>
                <w:color w:val="auto"/>
              </w:rPr>
            </w:pPr>
            <w:r>
              <w:rPr>
                <w:rFonts w:ascii="Times New Roman" w:cs="Times New Roman" w:eastAsia="Times New Roman" w:hAnsi="Times New Roman"/>
                <w:sz w:val="18"/>
                <w:szCs w:val="18"/>
                <w:color w:val="auto"/>
              </w:rPr>
              <w:t>Term SOFR Loan</w:t>
            </w:r>
          </w:p>
        </w:tc>
        <w:tc>
          <w:tcPr>
            <w:tcW w:w="300" w:type="dxa"/>
            <w:vAlign w:val="bottom"/>
            <w:tcBorders>
              <w:top w:val="single" w:sz="8" w:color="010101"/>
            </w:tcBorders>
          </w:tcPr>
          <w:p>
            <w:pPr>
              <w:spacing w:after="0"/>
              <w:rPr>
                <w:sz w:val="24"/>
                <w:szCs w:val="24"/>
                <w:color w:val="auto"/>
              </w:rPr>
            </w:pPr>
          </w:p>
        </w:tc>
        <w:tc>
          <w:tcPr>
            <w:tcW w:w="1380" w:type="dxa"/>
            <w:vAlign w:val="bottom"/>
            <w:tcBorders>
              <w:top w:val="single" w:sz="8" w:color="010101"/>
              <w:right w:val="single" w:sz="8" w:color="010101"/>
            </w:tcBorders>
            <w:gridSpan w:val="4"/>
          </w:tcPr>
          <w:p>
            <w:pPr>
              <w:ind w:left="60"/>
              <w:spacing w:after="0"/>
              <w:rPr>
                <w:sz w:val="20"/>
                <w:szCs w:val="20"/>
                <w:color w:val="auto"/>
              </w:rPr>
            </w:pPr>
            <w:r>
              <w:rPr>
                <w:rFonts w:ascii="Times New Roman" w:cs="Times New Roman" w:eastAsia="Times New Roman" w:hAnsi="Times New Roman"/>
                <w:sz w:val="18"/>
                <w:szCs w:val="18"/>
                <w:color w:val="auto"/>
              </w:rPr>
              <w:t>ABR</w:t>
            </w:r>
          </w:p>
        </w:tc>
        <w:tc>
          <w:tcPr>
            <w:tcW w:w="0" w:type="dxa"/>
            <w:vAlign w:val="bottom"/>
          </w:tcPr>
          <w:p>
            <w:pPr>
              <w:spacing w:after="0"/>
              <w:rPr>
                <w:sz w:val="1"/>
                <w:szCs w:val="1"/>
                <w:color w:val="auto"/>
              </w:rPr>
            </w:pPr>
          </w:p>
        </w:tc>
      </w:tr>
      <w:tr>
        <w:trPr>
          <w:trHeight w:val="20"/>
        </w:trPr>
        <w:tc>
          <w:tcPr>
            <w:tcW w:w="60" w:type="dxa"/>
            <w:vAlign w:val="bottom"/>
            <w:tcBorders>
              <w:left w:val="single" w:sz="8" w:color="010101"/>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right w:val="single" w:sz="8" w:color="01010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right w:val="single" w:sz="8" w:color="01010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tcBorders>
              <w:right w:val="single" w:sz="8" w:color="010101"/>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 w:type="dxa"/>
            <w:vAlign w:val="bottom"/>
            <w:tcBorders>
              <w:left w:val="single" w:sz="8" w:color="010101"/>
            </w:tcBorders>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Borders>
              <w:right w:val="single" w:sz="8" w:color="010101"/>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Borders>
              <w:right w:val="single" w:sz="8" w:color="010101"/>
            </w:tcBorders>
          </w:tcPr>
          <w:p>
            <w:pPr>
              <w:spacing w:after="0"/>
              <w:rPr>
                <w:sz w:val="15"/>
                <w:szCs w:val="15"/>
                <w:color w:val="auto"/>
              </w:rPr>
            </w:pPr>
          </w:p>
        </w:tc>
        <w:tc>
          <w:tcPr>
            <w:tcW w:w="1900" w:type="dxa"/>
            <w:vAlign w:val="bottom"/>
            <w:tcBorders>
              <w:right w:val="single" w:sz="8" w:color="010101"/>
            </w:tcBorders>
            <w:gridSpan w:val="7"/>
          </w:tcPr>
          <w:p>
            <w:pPr>
              <w:ind w:left="160"/>
              <w:spacing w:after="0" w:line="164" w:lineRule="exact"/>
              <w:rPr>
                <w:sz w:val="20"/>
                <w:szCs w:val="20"/>
                <w:color w:val="auto"/>
              </w:rPr>
            </w:pPr>
            <w:r>
              <w:rPr>
                <w:rFonts w:ascii="Times New Roman" w:cs="Times New Roman" w:eastAsia="Times New Roman" w:hAnsi="Times New Roman"/>
                <w:sz w:val="18"/>
                <w:szCs w:val="18"/>
                <w:color w:val="auto"/>
              </w:rPr>
              <w:t>Spread</w:t>
            </w:r>
          </w:p>
        </w:tc>
        <w:tc>
          <w:tcPr>
            <w:tcW w:w="3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w w:val="71"/>
              </w:rPr>
              <w:t>Spread</w:t>
            </w:r>
          </w:p>
        </w:tc>
        <w:tc>
          <w:tcPr>
            <w:tcW w:w="60" w:type="dxa"/>
            <w:vAlign w:val="bottom"/>
            <w:vMerge w:val="continue"/>
          </w:tcPr>
          <w:p>
            <w:pPr>
              <w:spacing w:after="0"/>
              <w:rPr>
                <w:sz w:val="15"/>
                <w:szCs w:val="15"/>
                <w:color w:val="auto"/>
              </w:rPr>
            </w:pPr>
          </w:p>
        </w:tc>
        <w:tc>
          <w:tcPr>
            <w:tcW w:w="880" w:type="dxa"/>
            <w:vAlign w:val="bottom"/>
            <w:tcBorders>
              <w:right w:val="single" w:sz="8" w:color="010101"/>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010101"/>
              <w:bottom w:val="single" w:sz="8" w:color="010101"/>
            </w:tcBorders>
          </w:tcPr>
          <w:p>
            <w:pPr>
              <w:spacing w:after="0"/>
              <w:rPr>
                <w:sz w:val="5"/>
                <w:szCs w:val="5"/>
                <w:color w:val="auto"/>
              </w:rPr>
            </w:pPr>
          </w:p>
        </w:tc>
        <w:tc>
          <w:tcPr>
            <w:tcW w:w="860" w:type="dxa"/>
            <w:vAlign w:val="bottom"/>
            <w:tcBorders>
              <w:bottom w:val="single" w:sz="8" w:color="010101"/>
            </w:tcBorders>
          </w:tcPr>
          <w:p>
            <w:pPr>
              <w:spacing w:after="0"/>
              <w:rPr>
                <w:sz w:val="5"/>
                <w:szCs w:val="5"/>
                <w:color w:val="auto"/>
              </w:rPr>
            </w:pPr>
          </w:p>
        </w:tc>
        <w:tc>
          <w:tcPr>
            <w:tcW w:w="700" w:type="dxa"/>
            <w:vAlign w:val="bottom"/>
            <w:tcBorders>
              <w:bottom w:val="single" w:sz="8" w:color="010101"/>
              <w:right w:val="single" w:sz="8" w:color="010101"/>
            </w:tcBorders>
          </w:tcPr>
          <w:p>
            <w:pPr>
              <w:spacing w:after="0"/>
              <w:rPr>
                <w:sz w:val="5"/>
                <w:szCs w:val="5"/>
                <w:color w:val="auto"/>
              </w:rPr>
            </w:pPr>
          </w:p>
        </w:tc>
        <w:tc>
          <w:tcPr>
            <w:tcW w:w="240" w:type="dxa"/>
            <w:vAlign w:val="bottom"/>
            <w:tcBorders>
              <w:bottom w:val="single" w:sz="8" w:color="010101"/>
            </w:tcBorders>
          </w:tcPr>
          <w:p>
            <w:pPr>
              <w:spacing w:after="0"/>
              <w:rPr>
                <w:sz w:val="5"/>
                <w:szCs w:val="5"/>
                <w:color w:val="auto"/>
              </w:rPr>
            </w:pPr>
          </w:p>
        </w:tc>
        <w:tc>
          <w:tcPr>
            <w:tcW w:w="460" w:type="dxa"/>
            <w:vAlign w:val="bottom"/>
            <w:tcBorders>
              <w:bottom w:val="single" w:sz="8" w:color="010101"/>
            </w:tcBorders>
          </w:tcPr>
          <w:p>
            <w:pPr>
              <w:spacing w:after="0"/>
              <w:rPr>
                <w:sz w:val="5"/>
                <w:szCs w:val="5"/>
                <w:color w:val="auto"/>
              </w:rPr>
            </w:pPr>
          </w:p>
        </w:tc>
        <w:tc>
          <w:tcPr>
            <w:tcW w:w="100" w:type="dxa"/>
            <w:vAlign w:val="bottom"/>
            <w:tcBorders>
              <w:bottom w:val="single" w:sz="8" w:color="010101"/>
            </w:tcBorders>
          </w:tcPr>
          <w:p>
            <w:pPr>
              <w:spacing w:after="0"/>
              <w:rPr>
                <w:sz w:val="5"/>
                <w:szCs w:val="5"/>
                <w:color w:val="auto"/>
              </w:rPr>
            </w:pPr>
          </w:p>
        </w:tc>
        <w:tc>
          <w:tcPr>
            <w:tcW w:w="560" w:type="dxa"/>
            <w:vAlign w:val="bottom"/>
            <w:tcBorders>
              <w:bottom w:val="single" w:sz="8" w:color="010101"/>
            </w:tcBorders>
          </w:tcPr>
          <w:p>
            <w:pPr>
              <w:spacing w:after="0"/>
              <w:rPr>
                <w:sz w:val="5"/>
                <w:szCs w:val="5"/>
                <w:color w:val="auto"/>
              </w:rPr>
            </w:pPr>
          </w:p>
        </w:tc>
        <w:tc>
          <w:tcPr>
            <w:tcW w:w="60" w:type="dxa"/>
            <w:vAlign w:val="bottom"/>
            <w:tcBorders>
              <w:bottom w:val="single" w:sz="8" w:color="010101"/>
            </w:tcBorders>
          </w:tcPr>
          <w:p>
            <w:pPr>
              <w:spacing w:after="0"/>
              <w:rPr>
                <w:sz w:val="5"/>
                <w:szCs w:val="5"/>
                <w:color w:val="auto"/>
              </w:rPr>
            </w:pPr>
          </w:p>
        </w:tc>
        <w:tc>
          <w:tcPr>
            <w:tcW w:w="100" w:type="dxa"/>
            <w:vAlign w:val="bottom"/>
            <w:tcBorders>
              <w:bottom w:val="single" w:sz="8" w:color="010101"/>
            </w:tcBorders>
          </w:tcPr>
          <w:p>
            <w:pPr>
              <w:spacing w:after="0"/>
              <w:rPr>
                <w:sz w:val="5"/>
                <w:szCs w:val="5"/>
                <w:color w:val="auto"/>
              </w:rPr>
            </w:pPr>
          </w:p>
        </w:tc>
        <w:tc>
          <w:tcPr>
            <w:tcW w:w="280" w:type="dxa"/>
            <w:vAlign w:val="bottom"/>
            <w:tcBorders>
              <w:bottom w:val="single" w:sz="8" w:color="010101"/>
            </w:tcBorders>
          </w:tcPr>
          <w:p>
            <w:pPr>
              <w:spacing w:after="0"/>
              <w:rPr>
                <w:sz w:val="5"/>
                <w:szCs w:val="5"/>
                <w:color w:val="auto"/>
              </w:rPr>
            </w:pPr>
          </w:p>
        </w:tc>
        <w:tc>
          <w:tcPr>
            <w:tcW w:w="640" w:type="dxa"/>
            <w:vAlign w:val="bottom"/>
            <w:tcBorders>
              <w:bottom w:val="single" w:sz="8" w:color="010101"/>
              <w:right w:val="single" w:sz="8" w:color="010101"/>
            </w:tcBorders>
          </w:tcPr>
          <w:p>
            <w:pPr>
              <w:spacing w:after="0"/>
              <w:rPr>
                <w:sz w:val="5"/>
                <w:szCs w:val="5"/>
                <w:color w:val="auto"/>
              </w:rPr>
            </w:pPr>
          </w:p>
        </w:tc>
        <w:tc>
          <w:tcPr>
            <w:tcW w:w="160" w:type="dxa"/>
            <w:vAlign w:val="bottom"/>
            <w:tcBorders>
              <w:bottom w:val="single" w:sz="8" w:color="010101"/>
            </w:tcBorders>
          </w:tcPr>
          <w:p>
            <w:pPr>
              <w:spacing w:after="0"/>
              <w:rPr>
                <w:sz w:val="5"/>
                <w:szCs w:val="5"/>
                <w:color w:val="auto"/>
              </w:rPr>
            </w:pPr>
          </w:p>
        </w:tc>
        <w:tc>
          <w:tcPr>
            <w:tcW w:w="20" w:type="dxa"/>
            <w:vAlign w:val="bottom"/>
            <w:tcBorders>
              <w:top w:val="single" w:sz="8" w:color="auto"/>
              <w:bottom w:val="single" w:sz="8" w:color="010101"/>
            </w:tcBorders>
          </w:tcPr>
          <w:p>
            <w:pPr>
              <w:spacing w:after="0"/>
              <w:rPr>
                <w:sz w:val="5"/>
                <w:szCs w:val="5"/>
                <w:color w:val="auto"/>
              </w:rPr>
            </w:pPr>
          </w:p>
        </w:tc>
        <w:tc>
          <w:tcPr>
            <w:tcW w:w="480" w:type="dxa"/>
            <w:vAlign w:val="bottom"/>
            <w:tcBorders>
              <w:top w:val="single" w:sz="8" w:color="auto"/>
              <w:bottom w:val="single" w:sz="8" w:color="010101"/>
            </w:tcBorders>
          </w:tcPr>
          <w:p>
            <w:pPr>
              <w:spacing w:after="0"/>
              <w:rPr>
                <w:sz w:val="5"/>
                <w:szCs w:val="5"/>
                <w:color w:val="auto"/>
              </w:rPr>
            </w:pPr>
          </w:p>
        </w:tc>
        <w:tc>
          <w:tcPr>
            <w:tcW w:w="400" w:type="dxa"/>
            <w:vAlign w:val="bottom"/>
            <w:tcBorders>
              <w:bottom w:val="single" w:sz="8" w:color="010101"/>
            </w:tcBorders>
          </w:tcPr>
          <w:p>
            <w:pPr>
              <w:spacing w:after="0"/>
              <w:rPr>
                <w:sz w:val="5"/>
                <w:szCs w:val="5"/>
                <w:color w:val="auto"/>
              </w:rPr>
            </w:pPr>
          </w:p>
        </w:tc>
        <w:tc>
          <w:tcPr>
            <w:tcW w:w="40" w:type="dxa"/>
            <w:vAlign w:val="bottom"/>
            <w:tcBorders>
              <w:bottom w:val="single" w:sz="8" w:color="010101"/>
            </w:tcBorders>
          </w:tcPr>
          <w:p>
            <w:pPr>
              <w:spacing w:after="0"/>
              <w:rPr>
                <w:sz w:val="5"/>
                <w:szCs w:val="5"/>
                <w:color w:val="auto"/>
              </w:rPr>
            </w:pPr>
          </w:p>
        </w:tc>
        <w:tc>
          <w:tcPr>
            <w:tcW w:w="360" w:type="dxa"/>
            <w:vAlign w:val="bottom"/>
            <w:tcBorders>
              <w:bottom w:val="single" w:sz="8" w:color="010101"/>
            </w:tcBorders>
          </w:tcPr>
          <w:p>
            <w:pPr>
              <w:spacing w:after="0"/>
              <w:rPr>
                <w:sz w:val="5"/>
                <w:szCs w:val="5"/>
                <w:color w:val="auto"/>
              </w:rPr>
            </w:pPr>
          </w:p>
        </w:tc>
        <w:tc>
          <w:tcPr>
            <w:tcW w:w="440" w:type="dxa"/>
            <w:vAlign w:val="bottom"/>
            <w:tcBorders>
              <w:bottom w:val="single" w:sz="8" w:color="010101"/>
              <w:right w:val="single" w:sz="8" w:color="010101"/>
            </w:tcBorders>
          </w:tcPr>
          <w:p>
            <w:pPr>
              <w:spacing w:after="0"/>
              <w:rPr>
                <w:sz w:val="5"/>
                <w:szCs w:val="5"/>
                <w:color w:val="auto"/>
              </w:rPr>
            </w:pPr>
          </w:p>
        </w:tc>
        <w:tc>
          <w:tcPr>
            <w:tcW w:w="300" w:type="dxa"/>
            <w:vAlign w:val="bottom"/>
            <w:tcBorders>
              <w:bottom w:val="single" w:sz="8" w:color="010101"/>
            </w:tcBorders>
          </w:tcPr>
          <w:p>
            <w:pPr>
              <w:spacing w:after="0"/>
              <w:rPr>
                <w:sz w:val="5"/>
                <w:szCs w:val="5"/>
                <w:color w:val="auto"/>
              </w:rPr>
            </w:pPr>
          </w:p>
        </w:tc>
        <w:tc>
          <w:tcPr>
            <w:tcW w:w="60" w:type="dxa"/>
            <w:vAlign w:val="bottom"/>
            <w:tcBorders>
              <w:top w:val="single" w:sz="8" w:color="auto"/>
              <w:bottom w:val="single" w:sz="8" w:color="010101"/>
            </w:tcBorders>
          </w:tcPr>
          <w:p>
            <w:pPr>
              <w:spacing w:after="0"/>
              <w:rPr>
                <w:sz w:val="5"/>
                <w:szCs w:val="5"/>
                <w:color w:val="auto"/>
              </w:rPr>
            </w:pPr>
          </w:p>
        </w:tc>
        <w:tc>
          <w:tcPr>
            <w:tcW w:w="380" w:type="dxa"/>
            <w:vAlign w:val="bottom"/>
            <w:tcBorders>
              <w:top w:val="single" w:sz="8" w:color="auto"/>
              <w:bottom w:val="single" w:sz="8" w:color="010101"/>
            </w:tcBorders>
          </w:tcPr>
          <w:p>
            <w:pPr>
              <w:spacing w:after="0"/>
              <w:rPr>
                <w:sz w:val="5"/>
                <w:szCs w:val="5"/>
                <w:color w:val="auto"/>
              </w:rPr>
            </w:pPr>
          </w:p>
        </w:tc>
        <w:tc>
          <w:tcPr>
            <w:tcW w:w="60" w:type="dxa"/>
            <w:vAlign w:val="bottom"/>
            <w:tcBorders>
              <w:top w:val="single" w:sz="8" w:color="auto"/>
              <w:bottom w:val="single" w:sz="8" w:color="010101"/>
            </w:tcBorders>
          </w:tcPr>
          <w:p>
            <w:pPr>
              <w:spacing w:after="0"/>
              <w:rPr>
                <w:sz w:val="5"/>
                <w:szCs w:val="5"/>
                <w:color w:val="auto"/>
              </w:rPr>
            </w:pPr>
          </w:p>
        </w:tc>
        <w:tc>
          <w:tcPr>
            <w:tcW w:w="880" w:type="dxa"/>
            <w:vAlign w:val="bottom"/>
            <w:tcBorders>
              <w:bottom w:val="single" w:sz="8" w:color="010101"/>
              <w:right w:val="single" w:sz="8" w:color="010101"/>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010101"/>
            </w:tcBorders>
          </w:tcPr>
          <w:p>
            <w:pPr>
              <w:spacing w:after="0"/>
              <w:rPr>
                <w:sz w:val="16"/>
                <w:szCs w:val="16"/>
                <w:color w:val="auto"/>
              </w:rPr>
            </w:pPr>
          </w:p>
        </w:tc>
        <w:tc>
          <w:tcPr>
            <w:tcW w:w="1560" w:type="dxa"/>
            <w:vAlign w:val="bottom"/>
            <w:tcBorders>
              <w:right w:val="single" w:sz="8" w:color="010101"/>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Category 1:</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Borders>
              <w:right w:val="single" w:sz="8" w:color="010101"/>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&lt; 1.75 to 1.00</w:t>
            </w:r>
          </w:p>
        </w:tc>
        <w:tc>
          <w:tcPr>
            <w:tcW w:w="1460" w:type="dxa"/>
            <w:vAlign w:val="bottom"/>
            <w:gridSpan w:val="6"/>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0.875%</w:t>
            </w:r>
          </w:p>
        </w:tc>
        <w:tc>
          <w:tcPr>
            <w:tcW w:w="440" w:type="dxa"/>
            <w:vAlign w:val="bottom"/>
            <w:tcBorders>
              <w:right w:val="single" w:sz="8" w:color="010101"/>
            </w:tcBorders>
          </w:tcPr>
          <w:p>
            <w:pPr>
              <w:spacing w:after="0"/>
              <w:rPr>
                <w:sz w:val="16"/>
                <w:szCs w:val="16"/>
                <w:color w:val="auto"/>
              </w:rPr>
            </w:pPr>
          </w:p>
        </w:tc>
        <w:tc>
          <w:tcPr>
            <w:tcW w:w="1680" w:type="dxa"/>
            <w:vAlign w:val="bottom"/>
            <w:tcBorders>
              <w:right w:val="single" w:sz="8" w:color="010101"/>
            </w:tcBorders>
            <w:gridSpan w:val="5"/>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4"/>
        </w:trPr>
        <w:tc>
          <w:tcPr>
            <w:tcW w:w="60" w:type="dxa"/>
            <w:vAlign w:val="bottom"/>
            <w:tcBorders>
              <w:left w:val="single" w:sz="8" w:color="010101"/>
              <w:bottom w:val="single" w:sz="8" w:color="010101"/>
            </w:tcBorders>
          </w:tcPr>
          <w:p>
            <w:pPr>
              <w:spacing w:after="0"/>
              <w:rPr>
                <w:sz w:val="4"/>
                <w:szCs w:val="4"/>
                <w:color w:val="auto"/>
              </w:rPr>
            </w:pPr>
          </w:p>
        </w:tc>
        <w:tc>
          <w:tcPr>
            <w:tcW w:w="860" w:type="dxa"/>
            <w:vAlign w:val="bottom"/>
            <w:tcBorders>
              <w:top w:val="single" w:sz="8" w:color="auto"/>
              <w:bottom w:val="single" w:sz="8" w:color="010101"/>
            </w:tcBorders>
          </w:tcPr>
          <w:p>
            <w:pPr>
              <w:spacing w:after="0"/>
              <w:rPr>
                <w:sz w:val="4"/>
                <w:szCs w:val="4"/>
                <w:color w:val="auto"/>
              </w:rPr>
            </w:pPr>
          </w:p>
        </w:tc>
        <w:tc>
          <w:tcPr>
            <w:tcW w:w="70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00" w:type="dxa"/>
            <w:vAlign w:val="bottom"/>
            <w:tcBorders>
              <w:top w:val="single" w:sz="8" w:color="auto"/>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640" w:type="dxa"/>
            <w:vAlign w:val="bottom"/>
            <w:tcBorders>
              <w:bottom w:val="single" w:sz="8" w:color="010101"/>
              <w:right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40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440" w:type="dxa"/>
            <w:vAlign w:val="bottom"/>
            <w:tcBorders>
              <w:bottom w:val="single" w:sz="8" w:color="010101"/>
              <w:right w:val="single" w:sz="8" w:color="010101"/>
            </w:tcBorders>
          </w:tcPr>
          <w:p>
            <w:pPr>
              <w:spacing w:after="0"/>
              <w:rPr>
                <w:sz w:val="4"/>
                <w:szCs w:val="4"/>
                <w:color w:val="auto"/>
              </w:rPr>
            </w:pPr>
          </w:p>
        </w:tc>
        <w:tc>
          <w:tcPr>
            <w:tcW w:w="3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8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880" w:type="dxa"/>
            <w:vAlign w:val="bottom"/>
            <w:tcBorders>
              <w:bottom w:val="single" w:sz="8" w:color="010101"/>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010101"/>
            </w:tcBorders>
          </w:tcPr>
          <w:p>
            <w:pPr>
              <w:spacing w:after="0"/>
              <w:rPr>
                <w:sz w:val="16"/>
                <w:szCs w:val="16"/>
                <w:color w:val="auto"/>
              </w:rPr>
            </w:pPr>
          </w:p>
        </w:tc>
        <w:tc>
          <w:tcPr>
            <w:tcW w:w="1560" w:type="dxa"/>
            <w:vAlign w:val="bottom"/>
            <w:tcBorders>
              <w:right w:val="single" w:sz="8" w:color="010101"/>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Category 2:</w:t>
            </w:r>
          </w:p>
        </w:tc>
        <w:tc>
          <w:tcPr>
            <w:tcW w:w="2440" w:type="dxa"/>
            <w:vAlign w:val="bottom"/>
            <w:tcBorders>
              <w:right w:val="single" w:sz="8" w:color="010101"/>
            </w:tcBorders>
            <w:gridSpan w:val="8"/>
          </w:tcPr>
          <w:p>
            <w:pPr>
              <w:jc w:val="center"/>
              <w:ind w:right="840"/>
              <w:spacing w:after="0" w:line="189" w:lineRule="exact"/>
              <w:rPr>
                <w:sz w:val="20"/>
                <w:szCs w:val="20"/>
                <w:color w:val="auto"/>
              </w:rPr>
            </w:pPr>
            <w:r>
              <w:rPr>
                <w:rFonts w:ascii="Times New Roman" w:cs="Times New Roman" w:eastAsia="Times New Roman" w:hAnsi="Times New Roman"/>
                <w:sz w:val="18"/>
                <w:szCs w:val="18"/>
                <w:color w:val="auto"/>
              </w:rPr>
              <w:t>&gt; 1.75 to 1.00 but &lt;</w:t>
            </w:r>
          </w:p>
        </w:tc>
        <w:tc>
          <w:tcPr>
            <w:tcW w:w="1460" w:type="dxa"/>
            <w:vAlign w:val="bottom"/>
            <w:gridSpan w:val="6"/>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440" w:type="dxa"/>
            <w:vAlign w:val="bottom"/>
            <w:tcBorders>
              <w:right w:val="single" w:sz="8" w:color="010101"/>
            </w:tcBorders>
          </w:tcPr>
          <w:p>
            <w:pPr>
              <w:spacing w:after="0"/>
              <w:rPr>
                <w:sz w:val="16"/>
                <w:szCs w:val="16"/>
                <w:color w:val="auto"/>
              </w:rPr>
            </w:pPr>
          </w:p>
        </w:tc>
        <w:tc>
          <w:tcPr>
            <w:tcW w:w="1680" w:type="dxa"/>
            <w:vAlign w:val="bottom"/>
            <w:tcBorders>
              <w:right w:val="single" w:sz="8" w:color="010101"/>
            </w:tcBorders>
            <w:gridSpan w:val="5"/>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6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2.25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0" w:type="dxa"/>
            <w:vAlign w:val="bottom"/>
            <w:tcBorders>
              <w:bottom w:val="single" w:sz="8" w:color="010101"/>
            </w:tcBorders>
          </w:tcPr>
          <w:p>
            <w:pPr>
              <w:spacing w:after="0"/>
              <w:rPr>
                <w:sz w:val="19"/>
                <w:szCs w:val="19"/>
                <w:color w:val="auto"/>
              </w:rPr>
            </w:pPr>
          </w:p>
        </w:tc>
        <w:tc>
          <w:tcPr>
            <w:tcW w:w="480" w:type="dxa"/>
            <w:vAlign w:val="bottom"/>
            <w:tcBorders>
              <w:bottom w:val="single" w:sz="8" w:color="010101"/>
            </w:tcBorders>
          </w:tcPr>
          <w:p>
            <w:pPr>
              <w:spacing w:after="0"/>
              <w:rPr>
                <w:sz w:val="19"/>
                <w:szCs w:val="19"/>
                <w:color w:val="auto"/>
              </w:rPr>
            </w:pPr>
          </w:p>
        </w:tc>
        <w:tc>
          <w:tcPr>
            <w:tcW w:w="4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40" w:type="dxa"/>
            <w:vAlign w:val="bottom"/>
            <w:tcBorders>
              <w:bottom w:val="single" w:sz="8" w:color="010101"/>
              <w:right w:val="single" w:sz="8" w:color="010101"/>
            </w:tcBorders>
          </w:tcPr>
          <w:p>
            <w:pPr>
              <w:spacing w:after="0"/>
              <w:rPr>
                <w:sz w:val="19"/>
                <w:szCs w:val="19"/>
                <w:color w:val="auto"/>
              </w:rPr>
            </w:pPr>
          </w:p>
        </w:tc>
        <w:tc>
          <w:tcPr>
            <w:tcW w:w="30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38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880" w:type="dxa"/>
            <w:vAlign w:val="bottom"/>
            <w:tcBorders>
              <w:bottom w:val="single" w:sz="8" w:color="010101"/>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010101"/>
            </w:tcBorders>
          </w:tcPr>
          <w:p>
            <w:pPr>
              <w:spacing w:after="0"/>
              <w:rPr>
                <w:sz w:val="16"/>
                <w:szCs w:val="16"/>
                <w:color w:val="auto"/>
              </w:rPr>
            </w:pPr>
          </w:p>
        </w:tc>
        <w:tc>
          <w:tcPr>
            <w:tcW w:w="1560" w:type="dxa"/>
            <w:vAlign w:val="bottom"/>
            <w:tcBorders>
              <w:right w:val="single" w:sz="8" w:color="010101"/>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Category 3:</w:t>
            </w:r>
          </w:p>
        </w:tc>
        <w:tc>
          <w:tcPr>
            <w:tcW w:w="2440" w:type="dxa"/>
            <w:vAlign w:val="bottom"/>
            <w:tcBorders>
              <w:right w:val="single" w:sz="8" w:color="010101"/>
            </w:tcBorders>
            <w:gridSpan w:val="8"/>
          </w:tcPr>
          <w:p>
            <w:pPr>
              <w:jc w:val="center"/>
              <w:ind w:right="840"/>
              <w:spacing w:after="0" w:line="192" w:lineRule="exact"/>
              <w:rPr>
                <w:sz w:val="20"/>
                <w:szCs w:val="20"/>
                <w:color w:val="auto"/>
              </w:rPr>
            </w:pPr>
            <w:r>
              <w:rPr>
                <w:rFonts w:ascii="Times New Roman" w:cs="Times New Roman" w:eastAsia="Times New Roman" w:hAnsi="Times New Roman"/>
                <w:sz w:val="18"/>
                <w:szCs w:val="18"/>
                <w:color w:val="auto"/>
              </w:rPr>
              <w:t>&gt; 2.25 to 1.00 but &lt;</w:t>
            </w:r>
          </w:p>
        </w:tc>
        <w:tc>
          <w:tcPr>
            <w:tcW w:w="1460" w:type="dxa"/>
            <w:vAlign w:val="bottom"/>
            <w:gridSpan w:val="6"/>
          </w:tcPr>
          <w:p>
            <w:pPr>
              <w:jc w:val="right"/>
              <w:ind w:right="260"/>
              <w:spacing w:after="0" w:line="192" w:lineRule="exact"/>
              <w:rPr>
                <w:sz w:val="20"/>
                <w:szCs w:val="20"/>
                <w:color w:val="auto"/>
              </w:rPr>
            </w:pPr>
            <w:r>
              <w:rPr>
                <w:rFonts w:ascii="Times New Roman" w:cs="Times New Roman" w:eastAsia="Times New Roman" w:hAnsi="Times New Roman"/>
                <w:sz w:val="18"/>
                <w:szCs w:val="18"/>
                <w:color w:val="auto"/>
              </w:rPr>
              <w:t>1.125%</w:t>
            </w:r>
          </w:p>
        </w:tc>
        <w:tc>
          <w:tcPr>
            <w:tcW w:w="440" w:type="dxa"/>
            <w:vAlign w:val="bottom"/>
            <w:tcBorders>
              <w:right w:val="single" w:sz="8" w:color="010101"/>
            </w:tcBorders>
          </w:tcPr>
          <w:p>
            <w:pPr>
              <w:spacing w:after="0"/>
              <w:rPr>
                <w:sz w:val="16"/>
                <w:szCs w:val="16"/>
                <w:color w:val="auto"/>
              </w:rPr>
            </w:pPr>
          </w:p>
        </w:tc>
        <w:tc>
          <w:tcPr>
            <w:tcW w:w="1680" w:type="dxa"/>
            <w:vAlign w:val="bottom"/>
            <w:tcBorders>
              <w:right w:val="single" w:sz="8" w:color="010101"/>
            </w:tcBorders>
            <w:gridSpan w:val="5"/>
          </w:tcPr>
          <w:p>
            <w:pPr>
              <w:jc w:val="center"/>
              <w:ind w:right="40"/>
              <w:spacing w:after="0" w:line="192" w:lineRule="exact"/>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6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2.75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0" w:type="dxa"/>
            <w:vAlign w:val="bottom"/>
            <w:tcBorders>
              <w:bottom w:val="single" w:sz="8" w:color="010101"/>
            </w:tcBorders>
          </w:tcPr>
          <w:p>
            <w:pPr>
              <w:spacing w:after="0"/>
              <w:rPr>
                <w:sz w:val="19"/>
                <w:szCs w:val="19"/>
                <w:color w:val="auto"/>
              </w:rPr>
            </w:pPr>
          </w:p>
        </w:tc>
        <w:tc>
          <w:tcPr>
            <w:tcW w:w="480" w:type="dxa"/>
            <w:vAlign w:val="bottom"/>
            <w:tcBorders>
              <w:bottom w:val="single" w:sz="8" w:color="010101"/>
            </w:tcBorders>
          </w:tcPr>
          <w:p>
            <w:pPr>
              <w:spacing w:after="0"/>
              <w:rPr>
                <w:sz w:val="19"/>
                <w:szCs w:val="19"/>
                <w:color w:val="auto"/>
              </w:rPr>
            </w:pPr>
          </w:p>
        </w:tc>
        <w:tc>
          <w:tcPr>
            <w:tcW w:w="4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40" w:type="dxa"/>
            <w:vAlign w:val="bottom"/>
            <w:tcBorders>
              <w:bottom w:val="single" w:sz="8" w:color="010101"/>
              <w:right w:val="single" w:sz="8" w:color="010101"/>
            </w:tcBorders>
          </w:tcPr>
          <w:p>
            <w:pPr>
              <w:spacing w:after="0"/>
              <w:rPr>
                <w:sz w:val="19"/>
                <w:szCs w:val="19"/>
                <w:color w:val="auto"/>
              </w:rPr>
            </w:pPr>
          </w:p>
        </w:tc>
        <w:tc>
          <w:tcPr>
            <w:tcW w:w="30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38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880" w:type="dxa"/>
            <w:vAlign w:val="bottom"/>
            <w:tcBorders>
              <w:bottom w:val="single" w:sz="8" w:color="010101"/>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010101"/>
            </w:tcBorders>
          </w:tcPr>
          <w:p>
            <w:pPr>
              <w:spacing w:after="0"/>
              <w:rPr>
                <w:sz w:val="16"/>
                <w:szCs w:val="16"/>
                <w:color w:val="auto"/>
              </w:rPr>
            </w:pPr>
          </w:p>
        </w:tc>
        <w:tc>
          <w:tcPr>
            <w:tcW w:w="1560" w:type="dxa"/>
            <w:vAlign w:val="bottom"/>
            <w:tcBorders>
              <w:right w:val="single" w:sz="8" w:color="010101"/>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Category 4:</w:t>
            </w:r>
          </w:p>
        </w:tc>
        <w:tc>
          <w:tcPr>
            <w:tcW w:w="2440" w:type="dxa"/>
            <w:vAlign w:val="bottom"/>
            <w:tcBorders>
              <w:right w:val="single" w:sz="8" w:color="010101"/>
            </w:tcBorders>
            <w:gridSpan w:val="8"/>
          </w:tcPr>
          <w:p>
            <w:pPr>
              <w:jc w:val="center"/>
              <w:ind w:right="840"/>
              <w:spacing w:after="0" w:line="192" w:lineRule="exact"/>
              <w:rPr>
                <w:sz w:val="20"/>
                <w:szCs w:val="20"/>
                <w:color w:val="auto"/>
              </w:rPr>
            </w:pPr>
            <w:r>
              <w:rPr>
                <w:rFonts w:ascii="Times New Roman" w:cs="Times New Roman" w:eastAsia="Times New Roman" w:hAnsi="Times New Roman"/>
                <w:sz w:val="18"/>
                <w:szCs w:val="18"/>
                <w:color w:val="auto"/>
              </w:rPr>
              <w:t>&gt; 2.75 to 1.00 but &lt;</w:t>
            </w:r>
          </w:p>
        </w:tc>
        <w:tc>
          <w:tcPr>
            <w:tcW w:w="1460" w:type="dxa"/>
            <w:vAlign w:val="bottom"/>
            <w:gridSpan w:val="6"/>
          </w:tcPr>
          <w:p>
            <w:pPr>
              <w:jc w:val="right"/>
              <w:ind w:right="260"/>
              <w:spacing w:after="0" w:line="192" w:lineRule="exact"/>
              <w:rPr>
                <w:sz w:val="20"/>
                <w:szCs w:val="20"/>
                <w:color w:val="auto"/>
              </w:rPr>
            </w:pPr>
            <w:r>
              <w:rPr>
                <w:rFonts w:ascii="Times New Roman" w:cs="Times New Roman" w:eastAsia="Times New Roman" w:hAnsi="Times New Roman"/>
                <w:sz w:val="18"/>
                <w:szCs w:val="18"/>
                <w:color w:val="auto"/>
              </w:rPr>
              <w:t>1.250%</w:t>
            </w:r>
          </w:p>
        </w:tc>
        <w:tc>
          <w:tcPr>
            <w:tcW w:w="440" w:type="dxa"/>
            <w:vAlign w:val="bottom"/>
            <w:tcBorders>
              <w:right w:val="single" w:sz="8" w:color="010101"/>
            </w:tcBorders>
          </w:tcPr>
          <w:p>
            <w:pPr>
              <w:spacing w:after="0"/>
              <w:rPr>
                <w:sz w:val="16"/>
                <w:szCs w:val="16"/>
                <w:color w:val="auto"/>
              </w:rPr>
            </w:pPr>
          </w:p>
        </w:tc>
        <w:tc>
          <w:tcPr>
            <w:tcW w:w="1680" w:type="dxa"/>
            <w:vAlign w:val="bottom"/>
            <w:tcBorders>
              <w:right w:val="single" w:sz="8" w:color="010101"/>
            </w:tcBorders>
            <w:gridSpan w:val="5"/>
          </w:tcPr>
          <w:p>
            <w:pPr>
              <w:jc w:val="center"/>
              <w:ind w:right="40"/>
              <w:spacing w:after="0" w:line="192" w:lineRule="exact"/>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22"/>
        </w:trPr>
        <w:tc>
          <w:tcPr>
            <w:tcW w:w="60" w:type="dxa"/>
            <w:vAlign w:val="bottom"/>
            <w:tcBorders>
              <w:left w:val="single" w:sz="8" w:color="010101"/>
              <w:bottom w:val="single" w:sz="8" w:color="010101"/>
            </w:tcBorders>
          </w:tcPr>
          <w:p>
            <w:pPr>
              <w:spacing w:after="0"/>
              <w:rPr>
                <w:sz w:val="19"/>
                <w:szCs w:val="19"/>
                <w:color w:val="auto"/>
              </w:rPr>
            </w:pPr>
          </w:p>
        </w:tc>
        <w:tc>
          <w:tcPr>
            <w:tcW w:w="860" w:type="dxa"/>
            <w:vAlign w:val="bottom"/>
            <w:tcBorders>
              <w:top w:val="single" w:sz="8" w:color="auto"/>
              <w:bottom w:val="single" w:sz="8" w:color="010101"/>
            </w:tcBorders>
          </w:tcPr>
          <w:p>
            <w:pPr>
              <w:spacing w:after="0"/>
              <w:rPr>
                <w:sz w:val="19"/>
                <w:szCs w:val="19"/>
                <w:color w:val="auto"/>
              </w:rPr>
            </w:pPr>
          </w:p>
        </w:tc>
        <w:tc>
          <w:tcPr>
            <w:tcW w:w="700" w:type="dxa"/>
            <w:vAlign w:val="bottom"/>
            <w:tcBorders>
              <w:bottom w:val="single" w:sz="8" w:color="010101"/>
              <w:right w:val="single" w:sz="8" w:color="010101"/>
            </w:tcBorders>
          </w:tcPr>
          <w:p>
            <w:pPr>
              <w:spacing w:after="0"/>
              <w:rPr>
                <w:sz w:val="19"/>
                <w:szCs w:val="19"/>
                <w:color w:val="auto"/>
              </w:rPr>
            </w:pPr>
          </w:p>
        </w:tc>
        <w:tc>
          <w:tcPr>
            <w:tcW w:w="240" w:type="dxa"/>
            <w:vAlign w:val="bottom"/>
            <w:tcBorders>
              <w:bottom w:val="single" w:sz="8" w:color="010101"/>
            </w:tcBorders>
          </w:tcPr>
          <w:p>
            <w:pPr>
              <w:spacing w:after="0"/>
              <w:rPr>
                <w:sz w:val="19"/>
                <w:szCs w:val="19"/>
                <w:color w:val="auto"/>
              </w:rPr>
            </w:pPr>
          </w:p>
        </w:tc>
        <w:tc>
          <w:tcPr>
            <w:tcW w:w="1180" w:type="dxa"/>
            <w:vAlign w:val="bottom"/>
            <w:tcBorders>
              <w:bottom w:val="single" w:sz="8" w:color="010101"/>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3.50 to 1.00</w:t>
            </w:r>
          </w:p>
        </w:tc>
        <w:tc>
          <w:tcPr>
            <w:tcW w:w="100" w:type="dxa"/>
            <w:vAlign w:val="bottom"/>
            <w:tcBorders>
              <w:top w:val="single" w:sz="8" w:color="auto"/>
              <w:bottom w:val="single" w:sz="8" w:color="010101"/>
            </w:tcBorders>
          </w:tcPr>
          <w:p>
            <w:pPr>
              <w:spacing w:after="0"/>
              <w:rPr>
                <w:sz w:val="19"/>
                <w:szCs w:val="19"/>
                <w:color w:val="auto"/>
              </w:rPr>
            </w:pPr>
          </w:p>
        </w:tc>
        <w:tc>
          <w:tcPr>
            <w:tcW w:w="920" w:type="dxa"/>
            <w:vAlign w:val="bottom"/>
            <w:tcBorders>
              <w:bottom w:val="single" w:sz="8" w:color="010101"/>
              <w:right w:val="single" w:sz="8" w:color="010101"/>
            </w:tcBorders>
            <w:gridSpan w:val="2"/>
          </w:tcPr>
          <w:p>
            <w:pPr>
              <w:spacing w:after="0"/>
              <w:rPr>
                <w:sz w:val="19"/>
                <w:szCs w:val="19"/>
                <w:color w:val="auto"/>
              </w:rPr>
            </w:pPr>
          </w:p>
        </w:tc>
        <w:tc>
          <w:tcPr>
            <w:tcW w:w="160" w:type="dxa"/>
            <w:vAlign w:val="bottom"/>
            <w:tcBorders>
              <w:bottom w:val="single" w:sz="8" w:color="010101"/>
            </w:tcBorders>
          </w:tcPr>
          <w:p>
            <w:pPr>
              <w:spacing w:after="0"/>
              <w:rPr>
                <w:sz w:val="19"/>
                <w:szCs w:val="19"/>
                <w:color w:val="auto"/>
              </w:rPr>
            </w:pPr>
          </w:p>
        </w:tc>
        <w:tc>
          <w:tcPr>
            <w:tcW w:w="20" w:type="dxa"/>
            <w:vAlign w:val="bottom"/>
            <w:tcBorders>
              <w:bottom w:val="single" w:sz="8" w:color="010101"/>
            </w:tcBorders>
          </w:tcPr>
          <w:p>
            <w:pPr>
              <w:spacing w:after="0"/>
              <w:rPr>
                <w:sz w:val="19"/>
                <w:szCs w:val="19"/>
                <w:color w:val="auto"/>
              </w:rPr>
            </w:pPr>
          </w:p>
        </w:tc>
        <w:tc>
          <w:tcPr>
            <w:tcW w:w="480" w:type="dxa"/>
            <w:vAlign w:val="bottom"/>
            <w:tcBorders>
              <w:bottom w:val="single" w:sz="8" w:color="010101"/>
            </w:tcBorders>
          </w:tcPr>
          <w:p>
            <w:pPr>
              <w:spacing w:after="0"/>
              <w:rPr>
                <w:sz w:val="19"/>
                <w:szCs w:val="19"/>
                <w:color w:val="auto"/>
              </w:rPr>
            </w:pPr>
          </w:p>
        </w:tc>
        <w:tc>
          <w:tcPr>
            <w:tcW w:w="400" w:type="dxa"/>
            <w:vAlign w:val="bottom"/>
            <w:tcBorders>
              <w:bottom w:val="single" w:sz="8" w:color="010101"/>
            </w:tcBorders>
          </w:tcPr>
          <w:p>
            <w:pPr>
              <w:spacing w:after="0"/>
              <w:rPr>
                <w:sz w:val="19"/>
                <w:szCs w:val="19"/>
                <w:color w:val="auto"/>
              </w:rPr>
            </w:pPr>
          </w:p>
        </w:tc>
        <w:tc>
          <w:tcPr>
            <w:tcW w:w="40" w:type="dxa"/>
            <w:vAlign w:val="bottom"/>
            <w:tcBorders>
              <w:bottom w:val="single" w:sz="8" w:color="010101"/>
            </w:tcBorders>
          </w:tcPr>
          <w:p>
            <w:pPr>
              <w:spacing w:after="0"/>
              <w:rPr>
                <w:sz w:val="19"/>
                <w:szCs w:val="19"/>
                <w:color w:val="auto"/>
              </w:rPr>
            </w:pPr>
          </w:p>
        </w:tc>
        <w:tc>
          <w:tcPr>
            <w:tcW w:w="360" w:type="dxa"/>
            <w:vAlign w:val="bottom"/>
            <w:tcBorders>
              <w:bottom w:val="single" w:sz="8" w:color="010101"/>
            </w:tcBorders>
          </w:tcPr>
          <w:p>
            <w:pPr>
              <w:spacing w:after="0"/>
              <w:rPr>
                <w:sz w:val="19"/>
                <w:szCs w:val="19"/>
                <w:color w:val="auto"/>
              </w:rPr>
            </w:pPr>
          </w:p>
        </w:tc>
        <w:tc>
          <w:tcPr>
            <w:tcW w:w="440" w:type="dxa"/>
            <w:vAlign w:val="bottom"/>
            <w:tcBorders>
              <w:bottom w:val="single" w:sz="8" w:color="010101"/>
              <w:right w:val="single" w:sz="8" w:color="010101"/>
            </w:tcBorders>
          </w:tcPr>
          <w:p>
            <w:pPr>
              <w:spacing w:after="0"/>
              <w:rPr>
                <w:sz w:val="19"/>
                <w:szCs w:val="19"/>
                <w:color w:val="auto"/>
              </w:rPr>
            </w:pPr>
          </w:p>
        </w:tc>
        <w:tc>
          <w:tcPr>
            <w:tcW w:w="30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380" w:type="dxa"/>
            <w:vAlign w:val="bottom"/>
            <w:tcBorders>
              <w:bottom w:val="single" w:sz="8" w:color="010101"/>
            </w:tcBorders>
          </w:tcPr>
          <w:p>
            <w:pPr>
              <w:spacing w:after="0"/>
              <w:rPr>
                <w:sz w:val="19"/>
                <w:szCs w:val="19"/>
                <w:color w:val="auto"/>
              </w:rPr>
            </w:pPr>
          </w:p>
        </w:tc>
        <w:tc>
          <w:tcPr>
            <w:tcW w:w="60" w:type="dxa"/>
            <w:vAlign w:val="bottom"/>
            <w:tcBorders>
              <w:bottom w:val="single" w:sz="8" w:color="010101"/>
            </w:tcBorders>
          </w:tcPr>
          <w:p>
            <w:pPr>
              <w:spacing w:after="0"/>
              <w:rPr>
                <w:sz w:val="19"/>
                <w:szCs w:val="19"/>
                <w:color w:val="auto"/>
              </w:rPr>
            </w:pPr>
          </w:p>
        </w:tc>
        <w:tc>
          <w:tcPr>
            <w:tcW w:w="880" w:type="dxa"/>
            <w:vAlign w:val="bottom"/>
            <w:tcBorders>
              <w:bottom w:val="single" w:sz="8" w:color="010101"/>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010101"/>
            </w:tcBorders>
          </w:tcPr>
          <w:p>
            <w:pPr>
              <w:spacing w:after="0"/>
              <w:rPr>
                <w:sz w:val="16"/>
                <w:szCs w:val="16"/>
                <w:color w:val="auto"/>
              </w:rPr>
            </w:pPr>
          </w:p>
        </w:tc>
        <w:tc>
          <w:tcPr>
            <w:tcW w:w="1560" w:type="dxa"/>
            <w:vAlign w:val="bottom"/>
            <w:tcBorders>
              <w:right w:val="single" w:sz="8" w:color="010101"/>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Category 5:</w:t>
            </w:r>
          </w:p>
        </w:tc>
        <w:tc>
          <w:tcPr>
            <w:tcW w:w="240" w:type="dxa"/>
            <w:vAlign w:val="bottom"/>
          </w:tcPr>
          <w:p>
            <w:pPr>
              <w:spacing w:after="0"/>
              <w:rPr>
                <w:sz w:val="16"/>
                <w:szCs w:val="16"/>
                <w:color w:val="auto"/>
              </w:rPr>
            </w:pPr>
          </w:p>
        </w:tc>
        <w:tc>
          <w:tcPr>
            <w:tcW w:w="2200" w:type="dxa"/>
            <w:vAlign w:val="bottom"/>
            <w:tcBorders>
              <w:right w:val="single" w:sz="8" w:color="010101"/>
            </w:tcBorders>
            <w:gridSpan w:val="7"/>
          </w:tcPr>
          <w:p>
            <w:pPr>
              <w:ind w:left="460"/>
              <w:spacing w:after="0" w:line="192" w:lineRule="exact"/>
              <w:rPr>
                <w:sz w:val="20"/>
                <w:szCs w:val="20"/>
                <w:color w:val="auto"/>
              </w:rPr>
            </w:pPr>
            <w:r>
              <w:rPr>
                <w:rFonts w:ascii="Times New Roman" w:cs="Times New Roman" w:eastAsia="Times New Roman" w:hAnsi="Times New Roman"/>
                <w:sz w:val="18"/>
                <w:szCs w:val="18"/>
                <w:color w:val="auto"/>
              </w:rPr>
              <w:t>&gt; 3.50 to 1.00</w:t>
            </w:r>
          </w:p>
        </w:tc>
        <w:tc>
          <w:tcPr>
            <w:tcW w:w="1460" w:type="dxa"/>
            <w:vAlign w:val="bottom"/>
            <w:gridSpan w:val="6"/>
          </w:tcPr>
          <w:p>
            <w:pPr>
              <w:jc w:val="right"/>
              <w:ind w:right="260"/>
              <w:spacing w:after="0" w:line="192" w:lineRule="exact"/>
              <w:rPr>
                <w:sz w:val="20"/>
                <w:szCs w:val="20"/>
                <w:color w:val="auto"/>
              </w:rPr>
            </w:pPr>
            <w:r>
              <w:rPr>
                <w:rFonts w:ascii="Times New Roman" w:cs="Times New Roman" w:eastAsia="Times New Roman" w:hAnsi="Times New Roman"/>
                <w:sz w:val="18"/>
                <w:szCs w:val="18"/>
                <w:color w:val="auto"/>
              </w:rPr>
              <w:t>1.375%</w:t>
            </w:r>
          </w:p>
        </w:tc>
        <w:tc>
          <w:tcPr>
            <w:tcW w:w="440" w:type="dxa"/>
            <w:vAlign w:val="bottom"/>
            <w:tcBorders>
              <w:right w:val="single" w:sz="8" w:color="010101"/>
            </w:tcBorders>
          </w:tcPr>
          <w:p>
            <w:pPr>
              <w:spacing w:after="0"/>
              <w:rPr>
                <w:sz w:val="16"/>
                <w:szCs w:val="16"/>
                <w:color w:val="auto"/>
              </w:rPr>
            </w:pPr>
          </w:p>
        </w:tc>
        <w:tc>
          <w:tcPr>
            <w:tcW w:w="1680" w:type="dxa"/>
            <w:vAlign w:val="bottom"/>
            <w:tcBorders>
              <w:right w:val="single" w:sz="8" w:color="010101"/>
            </w:tcBorders>
            <w:gridSpan w:val="5"/>
          </w:tcPr>
          <w:p>
            <w:pPr>
              <w:jc w:val="center"/>
              <w:ind w:right="40"/>
              <w:spacing w:after="0" w:line="192" w:lineRule="exact"/>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54"/>
        </w:trPr>
        <w:tc>
          <w:tcPr>
            <w:tcW w:w="60" w:type="dxa"/>
            <w:vAlign w:val="bottom"/>
            <w:tcBorders>
              <w:left w:val="single" w:sz="8" w:color="010101"/>
              <w:bottom w:val="single" w:sz="8" w:color="010101"/>
            </w:tcBorders>
          </w:tcPr>
          <w:p>
            <w:pPr>
              <w:spacing w:after="0"/>
              <w:rPr>
                <w:sz w:val="4"/>
                <w:szCs w:val="4"/>
                <w:color w:val="auto"/>
              </w:rPr>
            </w:pPr>
          </w:p>
        </w:tc>
        <w:tc>
          <w:tcPr>
            <w:tcW w:w="860" w:type="dxa"/>
            <w:vAlign w:val="bottom"/>
            <w:tcBorders>
              <w:top w:val="single" w:sz="8" w:color="auto"/>
              <w:bottom w:val="single" w:sz="8" w:color="010101"/>
            </w:tcBorders>
          </w:tcPr>
          <w:p>
            <w:pPr>
              <w:spacing w:after="0"/>
              <w:rPr>
                <w:sz w:val="4"/>
                <w:szCs w:val="4"/>
                <w:color w:val="auto"/>
              </w:rPr>
            </w:pPr>
          </w:p>
        </w:tc>
        <w:tc>
          <w:tcPr>
            <w:tcW w:w="700" w:type="dxa"/>
            <w:vAlign w:val="bottom"/>
            <w:tcBorders>
              <w:bottom w:val="single" w:sz="8" w:color="010101"/>
              <w:right w:val="single" w:sz="8" w:color="010101"/>
            </w:tcBorders>
          </w:tcPr>
          <w:p>
            <w:pPr>
              <w:spacing w:after="0"/>
              <w:rPr>
                <w:sz w:val="4"/>
                <w:szCs w:val="4"/>
                <w:color w:val="auto"/>
              </w:rPr>
            </w:pPr>
          </w:p>
        </w:tc>
        <w:tc>
          <w:tcPr>
            <w:tcW w:w="240" w:type="dxa"/>
            <w:vAlign w:val="bottom"/>
            <w:tcBorders>
              <w:bottom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640" w:type="dxa"/>
            <w:vAlign w:val="bottom"/>
            <w:tcBorders>
              <w:bottom w:val="single" w:sz="8" w:color="010101"/>
              <w:right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40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360" w:type="dxa"/>
            <w:vAlign w:val="bottom"/>
            <w:tcBorders>
              <w:bottom w:val="single" w:sz="8" w:color="010101"/>
            </w:tcBorders>
          </w:tcPr>
          <w:p>
            <w:pPr>
              <w:spacing w:after="0"/>
              <w:rPr>
                <w:sz w:val="4"/>
                <w:szCs w:val="4"/>
                <w:color w:val="auto"/>
              </w:rPr>
            </w:pPr>
          </w:p>
        </w:tc>
        <w:tc>
          <w:tcPr>
            <w:tcW w:w="440" w:type="dxa"/>
            <w:vAlign w:val="bottom"/>
            <w:tcBorders>
              <w:bottom w:val="single" w:sz="8" w:color="010101"/>
              <w:right w:val="single" w:sz="8" w:color="010101"/>
            </w:tcBorders>
          </w:tcPr>
          <w:p>
            <w:pPr>
              <w:spacing w:after="0"/>
              <w:rPr>
                <w:sz w:val="4"/>
                <w:szCs w:val="4"/>
                <w:color w:val="auto"/>
              </w:rPr>
            </w:pPr>
          </w:p>
        </w:tc>
        <w:tc>
          <w:tcPr>
            <w:tcW w:w="3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8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880" w:type="dxa"/>
            <w:vAlign w:val="bottom"/>
            <w:tcBorders>
              <w:bottom w:val="single" w:sz="8" w:color="010101"/>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For purposes of the foregoing,</w:t>
      </w:r>
    </w:p>
    <w:p>
      <w:pPr>
        <w:spacing w:after="0" w:line="235" w:lineRule="exact"/>
        <w:rPr>
          <w:sz w:val="20"/>
          <w:szCs w:val="20"/>
          <w:color w:val="auto"/>
        </w:rPr>
      </w:pPr>
    </w:p>
    <w:p>
      <w:pPr>
        <w:jc w:val="both"/>
        <w:ind w:right="20" w:firstLine="1176"/>
        <w:spacing w:after="0" w:line="261" w:lineRule="auto"/>
        <w:tabs>
          <w:tab w:leader="none" w:pos="17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fails to deliver the Financials on or before the date the Financials are due pursuant to Section 5.01, Category 5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179" w:lineRule="exact"/>
        <w:rPr>
          <w:rFonts w:ascii="Times New Roman" w:cs="Times New Roman" w:eastAsia="Times New Roman" w:hAnsi="Times New Roman"/>
          <w:sz w:val="18"/>
          <w:szCs w:val="18"/>
          <w:color w:val="auto"/>
        </w:rPr>
      </w:pPr>
    </w:p>
    <w:p>
      <w:pPr>
        <w:ind w:left="6040" w:hanging="593"/>
        <w:spacing w:after="0"/>
        <w:tabs>
          <w:tab w:leader="none" w:pos="6040"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if any, to the Category then in effect shall be effective three</w:t>
      </w:r>
    </w:p>
    <w:p>
      <w:pPr>
        <w:spacing w:after="0" w:line="38" w:lineRule="exact"/>
        <w:rPr>
          <w:rFonts w:ascii="Times New Roman" w:cs="Times New Roman" w:eastAsia="Times New Roman" w:hAnsi="Times New Roman"/>
          <w:sz w:val="17"/>
          <w:szCs w:val="17"/>
          <w:color w:val="auto"/>
        </w:rPr>
      </w:pPr>
    </w:p>
    <w:p>
      <w:pPr>
        <w:jc w:val="both"/>
        <w:ind w:left="1180" w:firstLine="3094"/>
        <w:spacing w:after="0" w:line="267" w:lineRule="auto"/>
        <w:tabs>
          <w:tab w:leader="none" w:pos="453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Administrative Agent has received the applicable Financials (it being understood and agreed that each change in Category shall apply during the period commencing on the effective date of such change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on the date immediately preceding the effective date of the next such change);</w:t>
      </w:r>
    </w:p>
    <w:p>
      <w:pPr>
        <w:spacing w:after="0" w:line="215" w:lineRule="exact"/>
        <w:rPr>
          <w:sz w:val="20"/>
          <w:szCs w:val="20"/>
          <w:color w:val="auto"/>
        </w:rPr>
      </w:pPr>
    </w:p>
    <w:p>
      <w:pPr>
        <w:jc w:val="both"/>
        <w:ind w:right="20" w:firstLine="1176"/>
        <w:spacing w:after="0" w:line="256" w:lineRule="auto"/>
        <w:tabs>
          <w:tab w:leader="none" w:pos="176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for purposes of the Revolving Loans only, Category 2 shall be deemed to be applicable until the Administrative Agent has received the Borrower’s first compliance certificate pursuant to clause (c) of Section 5.01 after the date hereof and (B) for purposes of the Delayed Draw Term Loans only, Category 3 shall be deemed to be applicable until the Administrative Agent’s receipt of the applicable Financials for the Company’s second full fiscal quarter ending after the Effective Date and adjustments to the Category then in effect shall thereafter be effected in accordance with the preceding paragraphs; and</w:t>
      </w:r>
    </w:p>
    <w:p>
      <w:pPr>
        <w:spacing w:after="0" w:line="196" w:lineRule="exact"/>
        <w:rPr>
          <w:rFonts w:ascii="Times New Roman" w:cs="Times New Roman" w:eastAsia="Times New Roman" w:hAnsi="Times New Roman"/>
          <w:sz w:val="18"/>
          <w:szCs w:val="18"/>
          <w:color w:val="auto"/>
        </w:rPr>
      </w:pPr>
    </w:p>
    <w:p>
      <w:pPr>
        <w:jc w:val="both"/>
        <w:ind w:right="20" w:firstLine="1176"/>
        <w:spacing w:after="0" w:line="254" w:lineRule="auto"/>
        <w:tabs>
          <w:tab w:leader="none" w:pos="17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compliance certificate delivered pursuant to Section 5.01(c) is determined to be inaccurate, and such inaccuracy, if corrected, would have led to the application of a higher Applicable Rate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than the Applicable Rate applied for such Applicable Period, then (a) the Company shall promptly (and in any event within five Business Days) following such determination deliver to the Administrative Agent a corrected compliance certificate required by Section 5.01(c) for such Applicable Period, (b) the Applicable Rate for such Applicable Period shall be determined as if the Gross Leverage Ratio were determined based on the amounts set forth in such correct compliance certificate and (c) the Company shall promptly (and in any event within ten Business Days) following delivery of such corrected compliance certificate pay to the Administrative Agent the accrued additional interest owing as a result of such increased Applicable Rate for such Applicable Period.</w:t>
      </w:r>
    </w:p>
    <w:p>
      <w:pPr>
        <w:spacing w:after="0" w:line="197" w:lineRule="exact"/>
        <w:rPr>
          <w:sz w:val="20"/>
          <w:szCs w:val="20"/>
          <w:color w:val="auto"/>
        </w:rPr>
      </w:pPr>
    </w:p>
    <w:p>
      <w:pPr>
        <w:ind w:right="2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arranged by (a) a Lender, (b) an affiliate of a Lender or (c) an entity or an Affiliate of an entity that administers or manages a Lender.</w:t>
      </w:r>
    </w:p>
    <w:p>
      <w:pPr>
        <w:sectPr>
          <w:pgSz w:w="11900" w:h="16838" w:orient="portrait"/>
          <w:cols w:equalWidth="0" w:num="1">
            <w:col w:w="11260"/>
          </w:cols>
          <w:pgMar w:left="320" w:top="634" w:right="319" w:bottom="1440" w:gutter="0" w:footer="0" w:header="0"/>
        </w:sectPr>
      </w:pPr>
    </w:p>
    <w:bookmarkStart w:id="88" w:name="page89"/>
    <w:bookmarkEnd w:id="88"/>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has the meaning assigned to such term in Section 2.20.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w:t>
      </w:r>
    </w:p>
    <w:p>
      <w:pPr>
        <w:spacing w:after="0" w:line="2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excluding the earlier of the Maturity Date and the date of termination of the Commitments.</w:t>
      </w:r>
    </w:p>
    <w:p>
      <w:pPr>
        <w:spacing w:after="0" w:line="21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79"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7"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2"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3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(i) in the case of any corporation, the board of directors of such Person, (ii) in the case of any limited liability company, the board of managers or managing members of such Person, (iii) in the case of any partnership, the board of directors of the general partner of such Person and (iv) in any other case, the functional equivalent of the foregoing.</w:t>
      </w:r>
    </w:p>
    <w:p>
      <w:pPr>
        <w:sectPr>
          <w:pgSz w:w="11900" w:h="16838" w:orient="portrait"/>
          <w:cols w:equalWidth="0" w:num="1">
            <w:col w:w="11240"/>
          </w:cols>
          <w:pgMar w:left="320" w:top="634" w:right="339" w:bottom="1440" w:gutter="0" w:footer="0" w:header="0"/>
        </w:sectPr>
      </w:pPr>
    </w:p>
    <w:bookmarkStart w:id="89" w:name="page90"/>
    <w:bookmarkEnd w:id="89"/>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Foreign Subsidiary Borrower.</w:t>
      </w:r>
    </w:p>
    <w:p>
      <w:pPr>
        <w:spacing w:after="0" w:line="235"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Type and currency, made, converted or continued on the same date and, in the case of Term SOFR Loans or Alternative Currency Term Rate Loans, as to which a single Interest Period is in effect, (b) a Swingline Loan or (c) a Delayed Draw Term Loan of the same Type, made, converted or continued on the same date and, in the case of Term SOFR Loans, as to which a single Interest Period is in effect.</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Borrowing in accordance with Section 2.03.</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Agreement</w:t>
      </w:r>
      <w:r>
        <w:rPr>
          <w:rFonts w:ascii="Times New Roman" w:cs="Times New Roman" w:eastAsia="Times New Roman" w:hAnsi="Times New Roman"/>
          <w:sz w:val="18"/>
          <w:szCs w:val="18"/>
          <w:color w:val="auto"/>
        </w:rPr>
        <w:t xml:space="preserve">” means a Borrowing Subsidiary Agreement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Termination</w:t>
      </w:r>
      <w:r>
        <w:rPr>
          <w:rFonts w:ascii="Times New Roman" w:cs="Times New Roman" w:eastAsia="Times New Roman" w:hAnsi="Times New Roman"/>
          <w:sz w:val="18"/>
          <w:szCs w:val="18"/>
          <w:color w:val="auto"/>
        </w:rPr>
        <w:t xml:space="preserve">” means a Borrowing Subsidiary Termination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w:t>
      </w:r>
    </w:p>
    <w:p>
      <w:pPr>
        <w:spacing w:after="0" w:line="155" w:lineRule="exact"/>
        <w:rPr>
          <w:sz w:val="20"/>
          <w:szCs w:val="20"/>
          <w:color w:val="auto"/>
        </w:rPr>
      </w:pPr>
    </w:p>
    <w:p>
      <w:pPr>
        <w:jc w:val="both"/>
        <w:ind w:firstLine="1176"/>
        <w:spacing w:after="0" w:line="264" w:lineRule="auto"/>
        <w:tabs>
          <w:tab w:leader="none" w:pos="17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TARGET2 Day;</w:t>
      </w:r>
    </w:p>
    <w:p>
      <w:pPr>
        <w:spacing w:after="0" w:line="188" w:lineRule="exact"/>
        <w:rPr>
          <w:rFonts w:ascii="Times New Roman" w:cs="Times New Roman" w:eastAsia="Times New Roman" w:hAnsi="Times New Roman"/>
          <w:sz w:val="18"/>
          <w:szCs w:val="18"/>
          <w:color w:val="auto"/>
        </w:rPr>
      </w:pPr>
    </w:p>
    <w:p>
      <w:pPr>
        <w:jc w:val="both"/>
        <w:ind w:firstLine="1176"/>
        <w:spacing w:after="0" w:line="264" w:lineRule="auto"/>
        <w:tabs>
          <w:tab w:leader="none" w:pos="17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(i) Pounds Sterling, means a day other than a day banks are closed for general business in London because such day is a Saturday, Sunday or a legal holiday under the laws of the United Kingdom and (ii) Japanese Yen, means a day other than when banks are closed for general business in Japan; and</w:t>
      </w:r>
    </w:p>
    <w:p>
      <w:pPr>
        <w:spacing w:after="0" w:line="188" w:lineRule="exact"/>
        <w:rPr>
          <w:rFonts w:ascii="Times New Roman" w:cs="Times New Roman" w:eastAsia="Times New Roman" w:hAnsi="Times New Roman"/>
          <w:sz w:val="18"/>
          <w:szCs w:val="18"/>
          <w:color w:val="auto"/>
        </w:rPr>
      </w:pPr>
    </w:p>
    <w:p>
      <w:pPr>
        <w:jc w:val="both"/>
        <w:ind w:firstLine="1176"/>
        <w:spacing w:after="0" w:line="261" w:lineRule="auto"/>
        <w:tabs>
          <w:tab w:leader="none" w:pos="17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9"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Effective Date), of Equity Interests representing more than 35% of the aggregate ordinary voting power represented by the issued and outstanding Equity Interests of the Company; (b) occupation of a majority of the seats (other than vacant seats) on the Board of Directors of the Company by Persons who are not Continuing Directors; or (c) the Company ceases to own, directly or indirectly, and Control 100% (other than directors’ qualifying shares) of the ordinary voting and economic power of any Foreign Subsidiary Borrower.</w:t>
      </w:r>
    </w:p>
    <w:p>
      <w:pPr>
        <w:spacing w:after="0" w:line="19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w:t>
      </w:r>
    </w:p>
    <w:p>
      <w:pPr>
        <w:sectPr>
          <w:pgSz w:w="11900" w:h="16838" w:orient="portrait"/>
          <w:cols w:equalWidth="0" w:num="1">
            <w:col w:w="11240"/>
          </w:cols>
          <w:pgMar w:left="320" w:top="634" w:right="339" w:bottom="1440" w:gutter="0" w:footer="0" w:header="0"/>
        </w:sectPr>
      </w:pPr>
    </w:p>
    <w:bookmarkStart w:id="90" w:name="page91"/>
    <w:bookmarkEnd w:id="90"/>
    <w:p>
      <w:pPr>
        <w:jc w:val="both"/>
        <w:spacing w:after="0" w:line="264" w:lineRule="auto"/>
        <w:rPr>
          <w:sz w:val="20"/>
          <w:szCs w:val="20"/>
          <w:color w:val="auto"/>
        </w:rPr>
      </w:pPr>
      <w:r>
        <w:rPr>
          <w:rFonts w:ascii="Times New Roman" w:cs="Times New Roman" w:eastAsia="Times New Roman" w:hAnsi="Times New Roman"/>
          <w:sz w:val="18"/>
          <w:szCs w:val="18"/>
          <w:color w:val="auto"/>
        </w:rPr>
        <w:t>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9.15.</w:t>
      </w:r>
    </w:p>
    <w:p>
      <w:pPr>
        <w:spacing w:after="0" w:line="23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(a) when used in reference to any Loan or Borrowing, refers to whether such Loan, or the Loans comprising such Borrowing, are Revolving Loans, Swingline Loans or Delayed Draw Term Loans and (b) when used in reference to any Lender, refers to whether such Lender is a Revolving Lender or a Delayed Draw Term Lender.</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7" w:lineRule="exact"/>
        <w:rPr>
          <w:sz w:val="20"/>
          <w:szCs w:val="20"/>
          <w:color w:val="auto"/>
        </w:rPr>
      </w:pPr>
    </w:p>
    <w:p>
      <w:pPr>
        <w:jc w:val="both"/>
        <w:ind w:firstLine="1178"/>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w:t>
      </w:r>
      <w:r>
        <w:rPr>
          <w:rFonts w:ascii="Times New Roman" w:cs="Times New Roman" w:eastAsia="Times New Roman" w:hAnsi="Times New Roman"/>
          <w:sz w:val="18"/>
          <w:szCs w:val="18"/>
          <w:color w:val="auto"/>
        </w:rPr>
        <w:t>” means each of Citibank, N.A., Morgan Stanley Senior Funding, Inc., TD Bank, N.A., U.S. Bank National Association and Wells Fargo Bank, N.A. in its capacity as co-documentation agent for the credit facilities evidenced by this Agreement.</w:t>
      </w:r>
    </w:p>
    <w:p>
      <w:pPr>
        <w:spacing w:after="0" w:line="168"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Letter of Credit</w:t>
      </w:r>
      <w:r>
        <w:rPr>
          <w:rFonts w:ascii="Times New Roman" w:cs="Times New Roman" w:eastAsia="Times New Roman" w:hAnsi="Times New Roman"/>
          <w:sz w:val="18"/>
          <w:szCs w:val="18"/>
          <w:color w:val="auto"/>
        </w:rPr>
        <w:t>” means a commercial documentary letter of credit issued pursuant to this Agreement by any Issuing Bank for the purchase of goods in the ordinary course of business.</w:t>
      </w:r>
    </w:p>
    <w:p>
      <w:pPr>
        <w:spacing w:after="0" w:line="155"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the sum of such Lender’s Revolving Commitment and Delayed Draw Term Loan Commitment. The initial amount of each Lender’s Commitment is set forth on Schedule 2.01, or in the Assignment and Assumption or other documentation contemplated hereby pursuant to which such Lender shall have assumed its Commitment, as applicable.</w:t>
      </w:r>
    </w:p>
    <w:p>
      <w:pPr>
        <w:spacing w:after="0" w:line="170"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9.01(d).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Tapestry, Inc., a Maryland corporation.</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is defined in Section 2.04.</w:t>
      </w:r>
    </w:p>
    <w:p>
      <w:pPr>
        <w:spacing w:after="0" w:line="221"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SONIA or any proposed Successor Rate for an Agreed Currency or Term SOFR, as applicable, any conforming changes to the definitions of “Alternate Base Rate”, “SOFR”, “SONIA”,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86"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ectPr>
          <w:pgSz w:w="11900" w:h="16838" w:orient="portrait"/>
          <w:cols w:equalWidth="0" w:num="1">
            <w:col w:w="11240"/>
          </w:cols>
          <w:pgMar w:left="320" w:top="634" w:right="339" w:bottom="1440" w:gutter="0" w:footer="0" w:header="0"/>
        </w:sectPr>
      </w:pPr>
    </w:p>
    <w:bookmarkStart w:id="91" w:name="page92"/>
    <w:bookmarkEnd w:id="91"/>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EBITDAR</w:t>
      </w:r>
      <w:r>
        <w:rPr>
          <w:rFonts w:ascii="Times New Roman" w:cs="Times New Roman" w:eastAsia="Times New Roman" w:hAnsi="Times New Roman"/>
          <w:sz w:val="18"/>
          <w:szCs w:val="18"/>
          <w:color w:val="auto"/>
        </w:rPr>
        <w:t xml:space="preserve">” means, for any period, Consolidated Net Income for such period plus, without duplication and to the extent reflected as a charge in the statement of such Consolidated Net Income for such period, the sum of (a) income tax expense, (b) interest expense, amortization or writeoff of debt discount and debt issuance costs and commissions, discounts and other fees and charges associated with Indebtedness (including the Loans), (c) depreciation and amortization expense, (d) amortization of intangibles (including, but not limited to, goodwill) and organization costs, (e)(i) any extraordinary, unusual, infrequent or non-recurring costs, expenses or losses paid in cash during such period in an aggregate amount not to exceed $150,000,000 during the term of this Agreement and (ii) any extraordinary or non-recurring non-cash expenses or losses (including any noncash impairment of assets, and, whether or not otherwise includable as a separate item in the statement of such Consolidated Net Income for such period, non-cash losses on sales of assets outside of the ordinary course of business and including non-cash charges arising from the application of Statement of Financial Accounting Standards No. 142 (or the corresponding Accounting Standards Codification Topic, as applicable)) </w:t>
      </w:r>
      <w:r>
        <w:rPr>
          <w:rFonts w:ascii="Times New Roman" w:cs="Times New Roman" w:eastAsia="Times New Roman" w:hAnsi="Times New Roman"/>
          <w:sz w:val="18"/>
          <w:szCs w:val="18"/>
          <w:color w:val="0000FF"/>
        </w:rPr>
        <w:t>and (iii) any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unusual, infrequent or non-recurring costs, expenses or losses paid in cash during such period that are related to the Sunrise Acquisition</w:t>
      </w:r>
      <w:r>
        <w:rPr>
          <w:rFonts w:ascii="Times New Roman" w:cs="Times New Roman" w:eastAsia="Times New Roman" w:hAnsi="Times New Roman"/>
          <w:sz w:val="18"/>
          <w:szCs w:val="18"/>
          <w:color w:val="000000"/>
        </w:rPr>
        <w:t>, (f) non-cash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expenses related to stock based compensation and (g) Consolidated Lease Expense and minus, (x) to the extent included in the statement of such Consolidated Net Income for such period, the sum of (i) interest income, (ii) any extraordinary or non-recurring non-cash income or gains (including, whether or not otherwise includable as a separate item in the statement of such Consolidated Net Income for such period, gains on the sales of assets outside of the ordinary course of business) and (iii) income tax credits (to the extent not netted from income tax expense) and (y) any cash payments made during such period in respect of items described in clauses (e) and (f) above subsequent to the fiscal quarter in which the relevant noncash expenses or losses were reflected as a charge in the statement of Consolidated Net Income, all as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-986790</wp:posOffset>
            </wp:positionV>
            <wp:extent cx="133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spacing w:after="0" w:line="184" w:lineRule="exact"/>
        <w:rPr>
          <w:sz w:val="20"/>
          <w:szCs w:val="20"/>
          <w:color w:val="auto"/>
        </w:rPr>
      </w:pPr>
    </w:p>
    <w:p>
      <w:pPr>
        <w:jc w:val="both"/>
        <w:ind w:firstLine="1178"/>
        <w:spacing w:after="0" w:line="251" w:lineRule="auto"/>
        <w:rPr>
          <w:sz w:val="20"/>
          <w:szCs w:val="20"/>
          <w:color w:val="auto"/>
        </w:rPr>
      </w:pPr>
      <w:r>
        <w:rPr>
          <w:rFonts w:ascii="Times New Roman" w:cs="Times New Roman" w:eastAsia="Times New Roman" w:hAnsi="Times New Roman"/>
          <w:sz w:val="18"/>
          <w:szCs w:val="18"/>
          <w:color w:val="auto"/>
        </w:rPr>
        <w:t>For the purposes of calculating Consolidated EBITDAR for any period of four consecutive fiscal quarters (each,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pursuant to any determination of the Gross Leverage Ratio or Net Leverage Ratio, (i) for each Reference Period, Consolidated Lease Expense shall be determined for such four fiscal quarter period, (ii) if at any time during such Reference Period the Company or any Subsidiary shall have made any Material Disposition, the Consolidated EBITDAR for such Reference Period shall be reduced by an amount equal to the Consolidated EBITDAR (if positive) attributable to the property that is the subject of such Material Disposition for such Reference Period or increased by an amount equal to the Consolidated EBITDAR (if negative) attributable thereto for such Reference Period, and (iii) if during such Reference Period the Company or any Subsidiary shall have made a Material Acquisition, Consolidated EBITDAR for such Reference Period shall be calculated after giving pro forma effect thereto (taking into account (A) such cost savings as may be determined by the Company in a manner consistent with the evaluation performed by the Company in deciding to make such Material Acquisition, as presented to the Company’s Board of Directors, provided that the Company may take into account such cost savings only if it in good faith determines on the date of calculation that it is reasonable to expect that such cost savings will be implemented within 120 days following the date of such Material Acquisition (or in the case of any calculation made subsequent to such 120th day, that such cost savings have, in fact, been implemented) and (B) all transactions that are directly related to such Material Acquisition and are entered into in connection and substantially contemporaneously therewith) as if such Material Acquisition occurred on the first day of such Reference Period. As used in this definition,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of property or series of related acquisitions of property that (a) constitutes (i) assets comprising all or substantially all of a business or operating unit of a business, (ii) all or substantially all of the common stock or other Equity Interests of a Person or (iii) in any case where clauses (i) and (ii) above are inapplicable, the rights of any licensee (including by means of the termination of such licensee’s rights under such license) under a trademark license to such licensee from the Company or any of its Affiliates (the “</w:t>
      </w:r>
      <w:r>
        <w:rPr>
          <w:rFonts w:ascii="Times New Roman" w:cs="Times New Roman" w:eastAsia="Times New Roman" w:hAnsi="Times New Roman"/>
          <w:sz w:val="18"/>
          <w:szCs w:val="18"/>
          <w:u w:val="single" w:color="auto"/>
          <w:color w:val="auto"/>
        </w:rPr>
        <w:t>Acquired Rights</w:t>
      </w:r>
      <w:r>
        <w:rPr>
          <w:rFonts w:ascii="Times New Roman" w:cs="Times New Roman" w:eastAsia="Times New Roman" w:hAnsi="Times New Roman"/>
          <w:sz w:val="18"/>
          <w:szCs w:val="18"/>
          <w:color w:val="auto"/>
        </w:rPr>
        <w:t>”), and (b) involves the payment of consideration by the Company and its Subsidiaries in excess of $50,000,000; “</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Disposition of property or series of related Dispositions of property that yields gross proceeds to the Company or any of its Subsidiaries in excess of $50,000,000. In making any calculation pursuant to this paragraph with respect to a Material Acquisition of a Person, business or rights for which quarterly financial statements are not available, the Company shall base such calculation on the financial statements of such Person, business or rights for the then most recently completed period of twelve</w:t>
      </w:r>
    </w:p>
    <w:p>
      <w:pPr>
        <w:sectPr>
          <w:pgSz w:w="11900" w:h="16838" w:orient="portrait"/>
          <w:cols w:equalWidth="0" w:num="1">
            <w:col w:w="11260"/>
          </w:cols>
          <w:pgMar w:left="320" w:top="634" w:right="31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color w:val="auto"/>
        </w:rPr>
        <w:t>consecutive calendar months for which such financial statements are available and shall deem the contribution of such Person, business or rights to Consolidated EBITDAR for the period from the beginning of the applicable Reference Period to the date of such Material Acquisition to be equal to the product of (x) the number of days in such period divided by 365 multiplied by (y) the amount of Consolidated EBITDAR of such Person, business or rights for the twelve-month period referred to above (calculated on the basis set forth in this definition). In making any calculation pursuant to this paragraph in connection with an acquisition of Acquired Rights to be followed by the granting of a new license of such Acquired Rights (or any rights derivative therefrom), effect may be given to such grant of such new license (as if it had occurred on the date of such acquisition) if, and only if, the Company in good faith determines on the date of such calculation that it is reasonable to expect that such grant will be completed within 120 days following the date of such acquisition (or in the case of any calculation made subsequent to such 120th day, that such grant has, in fact, been completed).</w:t>
      </w:r>
    </w:p>
    <w:p>
      <w:pPr>
        <w:spacing w:after="0" w:line="196" w:lineRule="exact"/>
        <w:rPr>
          <w:sz w:val="20"/>
          <w:szCs w:val="20"/>
          <w:color w:val="auto"/>
        </w:rPr>
      </w:pPr>
    </w:p>
    <w:p>
      <w:pPr>
        <w:jc w:val="both"/>
        <w:ind w:firstLine="1178"/>
        <w:spacing w:after="0" w:line="265"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Consolidated Lease Expense</w:t>
      </w:r>
      <w:r>
        <w:rPr>
          <w:rFonts w:ascii="Times New Roman" w:cs="Times New Roman" w:eastAsia="Times New Roman" w:hAnsi="Times New Roman"/>
          <w:sz w:val="18"/>
          <w:szCs w:val="18"/>
          <w:color w:val="auto"/>
        </w:rPr>
        <w:t>” means, for any period, the aggregate “operating lease cost” (as such amount is determined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GAAP) for such period included in the income statement most recently delivered pursuant to Section 5.01(a) or (b), as the case may be. Such amount does not incorporate or include any amounts payable under the Finance Leases of the Company and its Subsidiaries.</w:t>
      </w:r>
    </w:p>
    <w:p>
      <w:pPr>
        <w:spacing w:after="0" w:line="188"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consolidated net income (or loss) of the Company and its Subsidiaries, determined on a consolidated basis in accordance with GAAP; provided that there shall be excluded (a) the income (or deficit) of any Person accrued prior to the date it becomes a Subsidiary of the Company or is merged into or consolidated with the Company or any of its Subsidiaries, (b)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and (c) the undistributed earnings of any Subsidiary of the Company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of any date of determination thereof, the excess of</w:t>
      </w:r>
    </w:p>
    <w:p>
      <w:pPr>
        <w:spacing w:after="0" w:line="27" w:lineRule="exact"/>
        <w:rPr>
          <w:sz w:val="20"/>
          <w:szCs w:val="20"/>
          <w:color w:val="auto"/>
        </w:rPr>
      </w:pPr>
    </w:p>
    <w:p>
      <w:pPr>
        <w:jc w:val="both"/>
        <w:ind w:firstLine="1176"/>
        <w:spacing w:after="0" w:line="250" w:lineRule="auto"/>
        <w:tabs>
          <w:tab w:leader="none" w:pos="14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consolidated net book value of the assets of the Company and its Subsidiaries after all appropriate adjustments in accordance with GAAP (including, without limitation, reserves for doubtful receivables, obsolescence, depreciation and amortization) over (b) all of the aggregate liabilities of the Company and its Subsidiaries, including all items which, in accordance with GAAP, would be included on the liability side of the balance sheet (other than Equity Interests, treasury stock, capital surplus and retained earnings), in each case determined on a consolidated basis (after eliminating all inter-company items)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calculating Consolidated Net Worth the effects of Accounting Standards Codification Topic 350 shall be disregarded.</w:t>
      </w:r>
    </w:p>
    <w:p>
      <w:pPr>
        <w:spacing w:after="0" w:line="202"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at any time, the aggregate Indebtedness of the Company and its Subsidiaries calculated on a consolidated basis as of such time in accordance with GAAP and the total Operating Lease liability of the Company and its Subsidiaries as of such time as shown on the balance sheet and calculated on a consolidated basis as of such time in accordance with GAAP (after giving effect to Accounting Standards Codification Topic 842);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incurred in connection with the ownership, development, leasing, acquisition, construction or improvement of the Corporate Headquarters shall be excluded from Consolidated Total Indebtedness to the extent such Indebtedness is without recourse to the Company or any Subsidiary.</w:t>
      </w:r>
    </w:p>
    <w:p>
      <w:pPr>
        <w:spacing w:after="0" w:line="197"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of the Company who was a member of the Board of Directors of the Company on the date of this Agreement and (b) any individual who becomes a member of the Board of Directors of the Company after the Effective Date if such individual was appointed, elected, approved or nominated for election by the Board of Directors of the Company with the affirmative vote of at least a majority of the directors then still in office.</w:t>
      </w:r>
    </w:p>
    <w:p>
      <w:pPr>
        <w:sectPr>
          <w:pgSz w:w="11900" w:h="16838" w:orient="portrait"/>
          <w:cols w:equalWidth="0" w:num="1">
            <w:col w:w="11240"/>
          </w:cols>
          <w:pgMar w:left="320" w:top="634" w:right="339" w:bottom="1440" w:gutter="0" w:footer="0" w:header="0"/>
        </w:sectPr>
      </w:pPr>
    </w:p>
    <w:bookmarkStart w:id="93" w:name="page94"/>
    <w:bookmarkEnd w:id="93"/>
    <w:p>
      <w:pPr>
        <w:jc w:val="both"/>
        <w:ind w:left="2"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8"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Headquarters</w:t>
      </w:r>
      <w:r>
        <w:rPr>
          <w:rFonts w:ascii="Times New Roman" w:cs="Times New Roman" w:eastAsia="Times New Roman" w:hAnsi="Times New Roman"/>
          <w:sz w:val="18"/>
          <w:szCs w:val="18"/>
          <w:color w:val="auto"/>
        </w:rPr>
        <w:t>” means any direct or indirect legal, beneficial or equitable interest in any corporate headquarters or any direct or indirect legal, beneficial or equitable interest in the Hudson Yards Development.</w:t>
      </w:r>
    </w:p>
    <w:p>
      <w:pPr>
        <w:spacing w:after="0" w:line="155"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means each of JPMorgan Chase Bank, N.A. and HSBC Bank USA, N.A. in its capacity as co-syndication agent for the credit facilities evidenced by this Agreement.</w:t>
      </w:r>
    </w:p>
    <w:p>
      <w:pPr>
        <w:spacing w:after="0" w:line="155"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w:t>
      </w:r>
    </w:p>
    <w:p>
      <w:pPr>
        <w:spacing w:after="0" w:line="39" w:lineRule="exact"/>
        <w:rPr>
          <w:sz w:val="20"/>
          <w:szCs w:val="20"/>
          <w:color w:val="auto"/>
        </w:rPr>
      </w:pPr>
    </w:p>
    <w:p>
      <w:pPr>
        <w:ind w:left="2" w:hanging="2"/>
        <w:spacing w:after="0" w:line="272" w:lineRule="auto"/>
        <w:tabs>
          <w:tab w:leader="none" w:pos="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68"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such term in Section 9.18.</w:t>
      </w:r>
    </w:p>
    <w:p>
      <w:pPr>
        <w:spacing w:after="0" w:line="235"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amendment, renewal or extension of a Letter of Credit, an LC Disbursement or any of the</w:t>
      </w:r>
    </w:p>
    <w:p>
      <w:pPr>
        <w:spacing w:after="0" w:line="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foregoing.</w:t>
      </w:r>
    </w:p>
    <w:p>
      <w:pPr>
        <w:spacing w:after="0" w:line="215"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(a) such Lender’s Revolving Credit Exposure at such time, plus (b) an amount equal to the aggregate principal amount of its Delayed Draw Term Loan Commitments or Delayed Draw Term Loans outstanding at such time.</w:t>
      </w:r>
    </w:p>
    <w:p>
      <w:pPr>
        <w:spacing w:after="0" w:line="155"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the Swingline Lender or any other Lender.</w:t>
      </w:r>
    </w:p>
    <w:p>
      <w:pPr>
        <w:spacing w:after="0" w:line="235" w:lineRule="exact"/>
        <w:rPr>
          <w:sz w:val="20"/>
          <w:szCs w:val="20"/>
          <w:color w:val="auto"/>
        </w:rPr>
      </w:pPr>
    </w:p>
    <w:p>
      <w:pPr>
        <w:jc w:val="both"/>
        <w:ind w:left="2"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79"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55"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applicable.</w:t>
      </w:r>
    </w:p>
    <w:p>
      <w:pPr>
        <w:spacing w:after="0" w:line="209" w:lineRule="exact"/>
        <w:rPr>
          <w:sz w:val="20"/>
          <w:szCs w:val="20"/>
          <w:color w:val="auto"/>
        </w:rPr>
      </w:pPr>
    </w:p>
    <w:p>
      <w:pPr>
        <w:jc w:val="both"/>
        <w:ind w:left="2" w:firstLine="117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w:t>
      </w:r>
    </w:p>
    <w:p>
      <w:pPr>
        <w:sectPr>
          <w:pgSz w:w="11900" w:h="16838" w:orient="portrait"/>
          <w:cols w:equalWidth="0" w:num="1">
            <w:col w:w="11242"/>
          </w:cols>
          <w:pgMar w:left="318" w:top="855" w:right="339" w:bottom="1440" w:gutter="0" w:footer="0" w:header="0"/>
        </w:sectPr>
      </w:pPr>
    </w:p>
    <w:bookmarkStart w:id="94" w:name="page95"/>
    <w:bookmarkEnd w:id="94"/>
    <w:p>
      <w:pPr>
        <w:spacing w:after="0" w:line="287" w:lineRule="auto"/>
        <w:rPr>
          <w:sz w:val="20"/>
          <w:szCs w:val="20"/>
          <w:color w:val="auto"/>
        </w:rPr>
      </w:pPr>
      <w:r>
        <w:rPr>
          <w:rFonts w:ascii="Times New Roman" w:cs="Times New Roman" w:eastAsia="Times New Roman" w:hAnsi="Times New Roman"/>
          <w:sz w:val="18"/>
          <w:szCs w:val="18"/>
          <w:color w:val="auto"/>
        </w:rPr>
        <w:t>such Credit Party’s receipt of such certification in form and substance satisfactory to it and the Administrative Agent, or (d) has become the subject of a Bankruptcy Event or a Bail-In Action.</w:t>
      </w:r>
    </w:p>
    <w:p>
      <w:pPr>
        <w:spacing w:after="0" w:line="155" w:lineRule="exact"/>
        <w:rPr>
          <w:sz w:val="20"/>
          <w:szCs w:val="20"/>
          <w:color w:val="auto"/>
        </w:rPr>
      </w:pPr>
    </w:p>
    <w:p>
      <w:pPr>
        <w:ind w:left="1180" w:right="372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Commitment Termination Date</w:t>
      </w:r>
      <w:r>
        <w:rPr>
          <w:rFonts w:ascii="Times New Roman" w:cs="Times New Roman" w:eastAsia="Times New Roman" w:hAnsi="Times New Roman"/>
          <w:sz w:val="18"/>
          <w:szCs w:val="18"/>
          <w:color w:val="auto"/>
        </w:rPr>
        <w:t>” means the date that is 60 days after the Effective Date.</w:t>
      </w:r>
    </w:p>
    <w:p>
      <w:pPr>
        <w:spacing w:after="0" w:line="168" w:lineRule="exact"/>
        <w:rPr>
          <w:sz w:val="20"/>
          <w:szCs w:val="20"/>
          <w:color w:val="auto"/>
        </w:rPr>
      </w:pPr>
    </w:p>
    <w:p>
      <w:pPr>
        <w:ind w:right="340"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Lender</w:t>
      </w:r>
      <w:r>
        <w:rPr>
          <w:rFonts w:ascii="Times New Roman" w:cs="Times New Roman" w:eastAsia="Times New Roman" w:hAnsi="Times New Roman"/>
          <w:sz w:val="18"/>
          <w:szCs w:val="18"/>
          <w:color w:val="auto"/>
        </w:rPr>
        <w:t>” means, as of any date of determination, any Lender with a Delayed Draw Term Loan Commitment or an outstanding Delayed Draw Term Loan.</w:t>
      </w:r>
    </w:p>
    <w:p>
      <w:pPr>
        <w:spacing w:after="0" w:line="179" w:lineRule="exact"/>
        <w:rPr>
          <w:sz w:val="20"/>
          <w:szCs w:val="20"/>
          <w:color w:val="auto"/>
        </w:rPr>
      </w:pPr>
    </w:p>
    <w:p>
      <w:pPr>
        <w:ind w:right="80"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 Commitment</w:t>
      </w:r>
      <w:r>
        <w:rPr>
          <w:rFonts w:ascii="Times New Roman" w:cs="Times New Roman" w:eastAsia="Times New Roman" w:hAnsi="Times New Roman"/>
          <w:sz w:val="18"/>
          <w:szCs w:val="18"/>
          <w:color w:val="auto"/>
        </w:rPr>
        <w:t xml:space="preserve">” means (a) with respect to each Delayed Draw Term Lender, the aggregate commitment of such Delayed Draw Term Lender to make Delayed Draw Term Loans hereunder in an aggregate amount not to exceed the amount set forth opposite such Delayed Draw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most recent Assignment and Assumption or other documentation contemplated hereby executed by such Delayed Draw Term Lender and (b) as to all Delayed Draw Term Lenders, the aggregate commitment of all Delayed Draw Term Lenders to make Delayed Draw Term Loans, which aggregate commitment shall be $500,000,000 on the Effective Date. After advancing the Delayed Draw Term Loans, each reference to a Delayed Draw Term Lender’s Delayed Draw Term Loan Commitment shall refer to that Delayed Draw Term Lender’s Applicable Percentage of the Delayed Draw Term Loans.</w:t>
      </w:r>
    </w:p>
    <w:p>
      <w:pPr>
        <w:spacing w:after="0" w:line="197" w:lineRule="exact"/>
        <w:rPr>
          <w:sz w:val="20"/>
          <w:szCs w:val="20"/>
          <w:color w:val="auto"/>
        </w:rPr>
      </w:pPr>
    </w:p>
    <w:p>
      <w:pPr>
        <w:ind w:left="1180" w:right="398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 Maturity Date</w:t>
      </w:r>
      <w:r>
        <w:rPr>
          <w:rFonts w:ascii="Times New Roman" w:cs="Times New Roman" w:eastAsia="Times New Roman" w:hAnsi="Times New Roman"/>
          <w:sz w:val="18"/>
          <w:szCs w:val="18"/>
          <w:color w:val="auto"/>
        </w:rPr>
        <w:t>” means the date that is five years after the Effective Date.</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means the term loans made by the Delayed Draw Term Lenders to the Company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with respect to any property, any sale, lease, sale and leaseback, assignment, conveyance, transfer or other disposition thereof.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have correlative meanings.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Disqualifying Even</w:t>
      </w:r>
      <w:r>
        <w:rPr>
          <w:rFonts w:ascii="Times New Roman" w:cs="Times New Roman" w:eastAsia="Times New Roman" w:hAnsi="Times New Roman"/>
          <w:sz w:val="18"/>
          <w:szCs w:val="18"/>
          <w:color w:val="auto"/>
        </w:rPr>
        <w:t>t” has the meaning assigned to such term in the definition of “Eligible Currency”.</w:t>
      </w:r>
    </w:p>
    <w:p>
      <w:pPr>
        <w:spacing w:after="0" w:line="23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of any currency at any date shall mean (i) the amount of such currency if such currency is Dollars or (ii) the equivalent amount thereof in Dollars if such currency is a Foreign Currency, calculated on the basis of the Exchange Rate for such currency, on or as of the most recent Computation Date provided for in Section 2.04.</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3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Payment Office</w:t>
      </w:r>
      <w:r>
        <w:rPr>
          <w:rFonts w:ascii="Times New Roman" w:cs="Times New Roman" w:eastAsia="Times New Roman" w:hAnsi="Times New Roman"/>
          <w:sz w:val="18"/>
          <w:szCs w:val="18"/>
          <w:color w:val="auto"/>
        </w:rPr>
        <w:t>” of the Administrative Agent shall mean the office, branch, affiliate or correspondent bank of the Administrative Agent for payments in Dollars as specified from time to time by the Administrative Agent to the Company and each Lender.</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w:t>
      </w:r>
    </w:p>
    <w:p>
      <w:pPr>
        <w:spacing w:after="0" w:line="222"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w:t>
      </w:r>
    </w:p>
    <w:p>
      <w:pPr>
        <w:sectPr>
          <w:pgSz w:w="11900" w:h="16838" w:orient="portrait"/>
          <w:cols w:equalWidth="0" w:num="1">
            <w:col w:w="11240"/>
          </w:cols>
          <w:pgMar w:left="320" w:top="63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of an institution described in clauses (a) or (b) of this definition and is subject to consolidated supervision with its Parent.</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2" w:lineRule="exact"/>
        <w:rPr>
          <w:sz w:val="20"/>
          <w:szCs w:val="20"/>
          <w:color w:val="auto"/>
        </w:rPr>
      </w:pPr>
    </w:p>
    <w:p>
      <w:pPr>
        <w:jc w:val="both"/>
        <w:ind w:right="2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8" w:lineRule="exact"/>
        <w:rPr>
          <w:sz w:val="20"/>
          <w:szCs w:val="20"/>
          <w:color w:val="auto"/>
        </w:rPr>
      </w:pPr>
    </w:p>
    <w:p>
      <w:pPr>
        <w:jc w:val="both"/>
        <w:ind w:right="20"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 which date is May 11, 2022.</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has the meaning assigned to such term in Section 9.06.</w:t>
      </w:r>
    </w:p>
    <w:p>
      <w:pPr>
        <w:spacing w:after="0" w:line="222" w:lineRule="exact"/>
        <w:rPr>
          <w:sz w:val="20"/>
          <w:szCs w:val="20"/>
          <w:color w:val="auto"/>
        </w:rPr>
      </w:pPr>
    </w:p>
    <w:p>
      <w:pPr>
        <w:jc w:val="both"/>
        <w:ind w:right="2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8" w:lineRule="exact"/>
        <w:rPr>
          <w:sz w:val="20"/>
          <w:szCs w:val="20"/>
          <w:color w:val="auto"/>
        </w:rPr>
      </w:pPr>
    </w:p>
    <w:p>
      <w:pPr>
        <w:jc w:val="both"/>
        <w:ind w:right="20"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 ClearPar®, SyndTrak and any other Internet or extranet-based site, whether such electronic system is owned, operated or hosted by the Administrative Agent or any Issuing Bank and any of their respective Related Parties or any other Person, providing for access to data protected by passcodes or other security system.</w:t>
      </w:r>
    </w:p>
    <w:p>
      <w:pPr>
        <w:spacing w:after="0" w:line="176"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Currency</w:t>
      </w:r>
      <w:r>
        <w:rPr>
          <w:rFonts w:ascii="Times New Roman" w:cs="Times New Roman" w:eastAsia="Times New Roman" w:hAnsi="Times New Roman"/>
          <w:sz w:val="18"/>
          <w:szCs w:val="18"/>
          <w:color w:val="auto"/>
        </w:rPr>
        <w:t>” means any lawful currency other than Dollars that is readily available, freely transferable and convertible into Dollars in the international interbank market available to the Lenders in such market and as to which a Dollar Amount may be readily calculated. If, after the designation by the Lenders of any currency as a Foreign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 Foreign Currency) or the Issuing Bank (in the case of any Letter of Credit to be denominated in a Foreign Currency), (a) such currency no longer being readily available, freely transferable and convertible into Dollars, (b) a Dollar Amount is no longer readily calculable with respect to such currency, (c) providing such currency is impracticable for the Lenders or (d) no longer a currency in which the Required Lenders are willing to make such Loans or issue Letters of Credit (each of clauses (a), (b), (c), and (d) a “</w:t>
      </w:r>
      <w:r>
        <w:rPr>
          <w:rFonts w:ascii="Times New Roman" w:cs="Times New Roman" w:eastAsia="Times New Roman" w:hAnsi="Times New Roman"/>
          <w:sz w:val="18"/>
          <w:szCs w:val="18"/>
          <w:u w:val="single" w:color="auto"/>
          <w:color w:val="auto"/>
        </w:rPr>
        <w:t>Disqualifying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then the Administrative Agent shall promptly notify the Lenders and the Company, and such country’s currency shall no longer be an Agreed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Amount of Loans in Dollars, subject to the other terms contained herein.</w:t>
      </w:r>
    </w:p>
    <w:p>
      <w:pPr>
        <w:spacing w:after="0" w:line="192"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Foreign Subsidiary</w:t>
      </w:r>
      <w:r>
        <w:rPr>
          <w:rFonts w:ascii="Times New Roman" w:cs="Times New Roman" w:eastAsia="Times New Roman" w:hAnsi="Times New Roman"/>
          <w:sz w:val="18"/>
          <w:szCs w:val="18"/>
          <w:color w:val="auto"/>
        </w:rPr>
        <w:t>” means (i) any Foreign Subsidiary organized under the laws of Luxembourg and (ii) any other Foreign Subsidiary that is approved from time to time by the Administrative Agent and the Lenders; it being understood that with respect to this clause (ii), a Lender shall be deemed to have acted reasonably in withholding its consent if (a) it is unlawful for such Lender to make Loans under this Agreement to the proposed Foreign Subsidiary, (b) such Lender cannot or has not determined that it is lawful to do so, (c) the making of a Loan to the proposed Foreign Subsidiary would reasonably be expected to subject such Lender to material adverse tax consequences, (d) such Lender is required or has determined that it is prudent to register or file in the jurisdiction of formation or organization of the proposed Foreign Subsidiary and it does not wish to do so or (e) such Lender is restricted by operational or administrative procedures or other applicable internal policies from extending credit under this Agreement to Persons in the jurisdiction in which such Foreign Subsidiary is located.</w:t>
      </w:r>
    </w:p>
    <w:p>
      <w:pPr>
        <w:sectPr>
          <w:pgSz w:w="11900" w:h="16838" w:orient="portrait"/>
          <w:cols w:equalWidth="0" w:num="1">
            <w:col w:w="11260"/>
          </w:cols>
          <w:pgMar w:left="320" w:top="634" w:right="319" w:bottom="1440" w:gutter="0" w:footer="0" w:header="0"/>
        </w:sectPr>
      </w:pPr>
    </w:p>
    <w:bookmarkStart w:id="96" w:name="page97"/>
    <w:bookmarkEnd w:id="96"/>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Embargoed Country</w:t>
      </w:r>
      <w:r>
        <w:rPr>
          <w:rFonts w:ascii="Times New Roman" w:cs="Times New Roman" w:eastAsia="Times New Roman" w:hAnsi="Times New Roman"/>
          <w:sz w:val="18"/>
          <w:szCs w:val="18"/>
          <w:color w:val="auto"/>
        </w:rPr>
        <w:t>” means, at any time, a country or territory which is itself the subject or target of any comprehensive embargo under any Sanctions (as of the Effective Date, Crimea, Cuba, Iran, North Korea, Syria, the so-called Donetsk People’s Republic, and the so-called Luhansk People’s Republic, which list may be amended from time to time).</w:t>
      </w:r>
    </w:p>
    <w:p>
      <w:pPr>
        <w:spacing w:after="0" w:line="188"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or with any Governmental Authority, relating in any way to the environment, preservation or reclamation of natural resources, or the management, generation, use, handling, transportation, storage, treatment, disposal, release or threatened release of, or exposure to, any Hazardous Material.</w:t>
      </w:r>
    </w:p>
    <w:p>
      <w:pPr>
        <w:spacing w:after="0" w:line="179" w:lineRule="exact"/>
        <w:rPr>
          <w:sz w:val="20"/>
          <w:szCs w:val="20"/>
          <w:color w:val="auto"/>
        </w:rPr>
      </w:pPr>
    </w:p>
    <w:p>
      <w:pPr>
        <w:jc w:val="both"/>
        <w:ind w:firstLine="117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or relating to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0"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Amount</w:t>
      </w:r>
      <w:r>
        <w:rPr>
          <w:rFonts w:ascii="Times New Roman" w:cs="Times New Roman" w:eastAsia="Times New Roman" w:hAnsi="Times New Roman"/>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8"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(b) a determination that any Plan is, or is expected to be, in “at risk” status (within the meaning of Section 430 of the Code or Section 303 of ERISA); (c) the failure of any Borrower or any ERISA Affiliate to make by its due date a required installment under Section 430(j) of the Code with respect to any Plan or the failure by any Plan to satisfy the minimum funding standards (within the meaning of Section 412 of the Code or Section 302 of ERISA) applicable to such Plan, whether or not waived; (d) the filing pursuant to Section 412(c) of the Code or Section 303(c) of ERISA of an application for a waiver of the minimum funding standard with respect to any Plan; (e) the receipt by any Borrower or any ERISA Affiliate from the PBGC of any notice relating to an intention to terminate any Plan or to appoint a trustee to administer any Plan, or the incurrence by any Borrower or any of its ERISA Affiliates of any liability under Title IV of ERISA with respect to the termination of any Plan, including but not limited to the imposition of any Lien in favor of the PBGC or any Plan; (f) the cessation of operations at a facility of any Borrower or any ERISA Affiliate in the circumstances described in Section 4062(e) of ERISA; (g) the receipt by any Borrower or any ERISA Affiliate of any notice, or the receipt by any Multiemployer Plan from any Borrower or any ERISA Affiliate of any notice, concerning the imposition of Withdrawal Liability or the incurrence by any Borrower or any of its ERISA Affiliates of any liability with respect to the withdrawal or partial withdrawal from any Plan or Multiemployer Plan; (h) the receipt by any Borrower or any ERISA Affiliate of any determination that a Multiemployer Plan is, or is expected to be, Insolvent, terminated (within the meaning of Section 4041A of ERISA), or in “endangered”</w:t>
      </w:r>
    </w:p>
    <w:p>
      <w:pPr>
        <w:sectPr>
          <w:pgSz w:w="11900" w:h="16838" w:orient="portrait"/>
          <w:cols w:equalWidth="0" w:num="1">
            <w:col w:w="11240"/>
          </w:cols>
          <w:pgMar w:left="320" w:top="634" w:right="339" w:bottom="1440" w:gutter="0" w:footer="0" w:header="0"/>
        </w:sectPr>
      </w:pPr>
    </w:p>
    <w:bookmarkStart w:id="97" w:name="page98"/>
    <w:bookmarkEnd w:id="97"/>
    <w:p>
      <w:pPr>
        <w:jc w:val="both"/>
        <w:spacing w:after="0" w:line="264" w:lineRule="auto"/>
        <w:rPr>
          <w:sz w:val="20"/>
          <w:szCs w:val="20"/>
          <w:color w:val="auto"/>
        </w:rPr>
      </w:pPr>
      <w:r>
        <w:rPr>
          <w:rFonts w:ascii="Times New Roman" w:cs="Times New Roman" w:eastAsia="Times New Roman" w:hAnsi="Times New Roman"/>
          <w:sz w:val="18"/>
          <w:szCs w:val="18"/>
          <w:color w:val="auto"/>
        </w:rPr>
        <w:t>or “critical” status (within the meaning of Section 432 of the Code or Section 305 of ERISA); (i) the failure by any Borrower or any of its ERISA Affiliates to make when due any required contribution to a Multiemployer Plan pursuant to Sections 431 or 432 of the Code or any installment payment with respect to Withdrawal Liability under Section 4201 of ERISA; or (j) any Foreign Plan Event.</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ESG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ESG Pricing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means the single currency of the Participating Member States.</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assigned to such term in the definition of “Alternative Currency Term Rate”.</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35"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on any day, with respect to any Foreign Currency, the rate determined by the Administrative Agent or the Issuing Bank,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Issuing Bank may obtain such exchange rate from another financial institution designated by the Administrative Agent or the Issuing Bank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Issuing Bank may use such exchange rate quoted on the date as of which the foreign exchange computation is made in the case of any Letter of Credit denominated in a Foreign Currency.</w:t>
      </w:r>
    </w:p>
    <w:p>
      <w:pPr>
        <w:spacing w:after="0" w:line="185" w:lineRule="exact"/>
        <w:rPr>
          <w:sz w:val="20"/>
          <w:szCs w:val="20"/>
          <w:color w:val="auto"/>
        </w:rPr>
      </w:pPr>
    </w:p>
    <w:p>
      <w:pPr>
        <w:jc w:val="both"/>
        <w:ind w:firstLine="1178"/>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1176"/>
        <w:spacing w:after="0" w:line="251" w:lineRule="auto"/>
        <w:tabs>
          <w:tab w:leader="none" w:pos="14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w:t>
      </w:r>
    </w:p>
    <w:p>
      <w:pPr>
        <w:jc w:val="both"/>
        <w:ind w:firstLine="117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is defined in the recitals hereof.</w:t>
      </w:r>
    </w:p>
    <w:p>
      <w:pPr>
        <w:spacing w:after="0" w:line="222" w:lineRule="exact"/>
        <w:rPr>
          <w:sz w:val="20"/>
          <w:szCs w:val="20"/>
          <w:color w:val="auto"/>
        </w:rPr>
      </w:pPr>
    </w:p>
    <w:p>
      <w:pPr>
        <w:ind w:right="44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the Letters of Credit heretofore issued pursuant to the Existing Credit Agreement and described on Schedule 2.06(B).</w:t>
      </w:r>
    </w:p>
    <w:p>
      <w:pPr>
        <w:spacing w:after="0" w:line="155" w:lineRule="exact"/>
        <w:rPr>
          <w:sz w:val="20"/>
          <w:szCs w:val="20"/>
          <w:color w:val="auto"/>
        </w:rPr>
      </w:pPr>
    </w:p>
    <w:p>
      <w:pPr>
        <w:ind w:right="120" w:firstLine="117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assigned to such term in Section 2.25(a).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2.25(b).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assigned to such term in Section 2.25(a).</w:t>
      </w:r>
    </w:p>
    <w:p>
      <w:pPr>
        <w:spacing w:after="0" w:line="1" w:lineRule="exact"/>
        <w:rPr>
          <w:sz w:val="20"/>
          <w:szCs w:val="20"/>
          <w:color w:val="auto"/>
        </w:rPr>
      </w:pPr>
    </w:p>
    <w:p>
      <w:pPr>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Facilities Commitment Letter</w:t>
      </w:r>
      <w:r>
        <w:rPr>
          <w:rFonts w:ascii="Times New Roman" w:cs="Times New Roman" w:eastAsia="Times New Roman" w:hAnsi="Times New Roman"/>
          <w:sz w:val="18"/>
          <w:szCs w:val="18"/>
          <w:color w:val="auto"/>
        </w:rPr>
        <w:t>” means that certain Commitment Letter dated as of April 13, 2022 among the Company, Bank of America, N.A., BofA Securities, Inc., JPMorgan Chase Bank, N.A.,</w:t>
      </w:r>
    </w:p>
    <w:p>
      <w:pPr>
        <w:sectPr>
          <w:pgSz w:w="11900" w:h="16838" w:orient="portrait"/>
          <w:cols w:equalWidth="0" w:num="1">
            <w:col w:w="11240"/>
          </w:cols>
          <w:pgMar w:left="320" w:top="63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HSBC Bank USA, N.A. and HSBC Securities (USA), Inc. that pertains to the credit facilities that are the subject of this Agreement.</w:t>
      </w:r>
    </w:p>
    <w:p>
      <w:pPr>
        <w:spacing w:after="0" w:line="235" w:lineRule="exact"/>
        <w:rPr>
          <w:sz w:val="20"/>
          <w:szCs w:val="20"/>
          <w:color w:val="auto"/>
        </w:rPr>
      </w:pPr>
    </w:p>
    <w:p>
      <w:pPr>
        <w:ind w:right="220"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Facilities Fee Letters</w:t>
      </w:r>
      <w:r>
        <w:rPr>
          <w:rFonts w:ascii="Times New Roman" w:cs="Times New Roman" w:eastAsia="Times New Roman" w:hAnsi="Times New Roman"/>
          <w:sz w:val="18"/>
          <w:szCs w:val="18"/>
          <w:color w:val="auto"/>
        </w:rPr>
        <w:t>” means the “Fee Letters” as defined in the Facilities Commitment Letter that pertain to the credit facilities that are the subject of this Agreement.</w:t>
      </w:r>
    </w:p>
    <w:p>
      <w:pPr>
        <w:spacing w:after="0" w:line="179"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9"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92"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Liabilities</w:t>
      </w:r>
      <w:r>
        <w:rPr>
          <w:rFonts w:ascii="Times New Roman" w:cs="Times New Roman" w:eastAsia="Times New Roman" w:hAnsi="Times New Roman"/>
          <w:sz w:val="18"/>
          <w:szCs w:val="18"/>
          <w:color w:val="auto"/>
        </w:rPr>
        <w:t>” means, as applied to any Person, all obligations under Finance Leases of such Person or any of its subsidiaries, in each case taken at the amount thereof accounted for as liabilities in accordance with GAAP.</w:t>
      </w:r>
    </w:p>
    <w:p>
      <w:pPr>
        <w:spacing w:after="0" w:line="179"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Leases</w:t>
      </w:r>
      <w:r>
        <w:rPr>
          <w:rFonts w:ascii="Times New Roman" w:cs="Times New Roman" w:eastAsia="Times New Roman" w:hAnsi="Times New Roman"/>
          <w:sz w:val="18"/>
          <w:szCs w:val="18"/>
          <w:color w:val="auto"/>
        </w:rPr>
        <w:t>” means all leases that have been or should be, in accordance with GAAP, recorded as finance leases, but excluding, for the avoidance of doubt, any Operating Leases or other non-finance leases.</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assistant treasurer of the Company.</w:t>
      </w:r>
    </w:p>
    <w:p>
      <w:pPr>
        <w:spacing w:after="0" w:line="23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means the annual or quarterly financial statements, and accompanying certificates and other documents, of the Company and its Subsidiaries required to be delivered pursuant to Section 5.01(a) or 5.01(b).</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with respect to the Company and its Subsidiaries, and with respect to any Fiscal Year, (a) each of the quarterly periods ending 13 calendar weeks, 26 calendar weeks, 39 calendar weeks and 52 or 53 calendar weeks, as the case may be, after the end of the prior Fiscal Year or (b) such other quarterly periods as the Company shall adopt after giving prior written notice thereof to the Lenders.</w:t>
      </w:r>
    </w:p>
    <w:p>
      <w:pPr>
        <w:spacing w:after="0" w:line="188"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with respect to the Company and its Subsidiaries, (a) the 52- or 53-week annual period, as the case may be, ending on the Saturday nearest to June 30 of each calendar year or (b) such other fiscal year as the Company shall adopt with the prior written consent of the Required Lenders (which consent shall not be unreasonably withheld). Any designation of a particular Fiscal Year by reference to a calendar year shall mean the Fiscal Year ending during such calendar year.</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23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LC Exposure</w:t>
      </w:r>
      <w:r>
        <w:rPr>
          <w:rFonts w:ascii="Times New Roman" w:cs="Times New Roman" w:eastAsia="Times New Roman" w:hAnsi="Times New Roman"/>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76" w:lineRule="exact"/>
        <w:rPr>
          <w:sz w:val="20"/>
          <w:szCs w:val="20"/>
          <w:color w:val="auto"/>
        </w:rPr>
      </w:pPr>
    </w:p>
    <w:p>
      <w:pPr>
        <w:ind w:left="1180" w:right="378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Letter of Credit</w:t>
      </w:r>
      <w:r>
        <w:rPr>
          <w:rFonts w:ascii="Times New Roman" w:cs="Times New Roman" w:eastAsia="Times New Roman" w:hAnsi="Times New Roman"/>
          <w:sz w:val="18"/>
          <w:szCs w:val="18"/>
          <w:color w:val="auto"/>
        </w:rPr>
        <w:t>” means a Letter of Credit denominated in a Foreign Currency.</w:t>
      </w:r>
    </w:p>
    <w:p>
      <w:pPr>
        <w:sectPr>
          <w:pgSz w:w="11900" w:h="16838" w:orient="portrait"/>
          <w:cols w:equalWidth="0" w:num="1">
            <w:col w:w="11240"/>
          </w:cols>
          <w:pgMar w:left="320" w:top="634" w:right="339" w:bottom="1440" w:gutter="0" w:footer="0" w:header="0"/>
        </w:sectPr>
      </w:pPr>
    </w:p>
    <w:bookmarkStart w:id="99" w:name="page100"/>
    <w:bookmarkEnd w:id="99"/>
    <w:p>
      <w:pPr>
        <w:jc w:val="both"/>
        <w:ind w:right="20"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88"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35" w:lineRule="exact"/>
        <w:rPr>
          <w:sz w:val="20"/>
          <w:szCs w:val="20"/>
          <w:color w:val="auto"/>
        </w:rPr>
      </w:pPr>
    </w:p>
    <w:p>
      <w:pPr>
        <w:jc w:val="both"/>
        <w:ind w:right="20"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benefit plan (within the meaning of Section 3(3) of ERISA, whether or not subject to ERISA) that is not subject to United States law and is maintained or contributed to by any Borrower or any ERISA Affiliate.</w:t>
      </w:r>
    </w:p>
    <w:p>
      <w:pPr>
        <w:spacing w:after="0" w:line="179"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(a) the existence of unfunded liabilities in excess of the amount permitted under any applicable law, or in excess of the amount that would be permitted absent a waiver from a Governmental Authority, (b) the receipt of a notice by a Governmental Authority relating to the intention to terminate any such Foreign Plan or to appoint a trustee or similar official to administer any such Foreign Plan, or alleging the insolvency of any such Foreign Plan, (c) the incurrence of any liability under applicable law on account of the complete or partial termination of such Foreign Plan or the complete or partial withdrawal of any participating employer therein, (d) the failure to make or, if applicable, accrue in accordance with normal accounting practices, any employer or employee contributions required by applicable law or by the terms of such Foreign Plan, (e) the failure to register or loss of good standing with applicable regulatory authorities of any such Foreign Plan required to be registered, or (f) the failure of any Foreign Plan to comply with any material provisions of applicable law and regulations or with the material terms of such Foreign Plan.</w:t>
      </w:r>
    </w:p>
    <w:p>
      <w:pPr>
        <w:spacing w:after="0" w:line="5" w:lineRule="exact"/>
        <w:rPr>
          <w:sz w:val="20"/>
          <w:szCs w:val="20"/>
          <w:color w:val="auto"/>
        </w:rPr>
      </w:pPr>
    </w:p>
    <w:p>
      <w:pPr>
        <w:jc w:val="both"/>
        <w:ind w:right="20"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 “</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Eligible Foreign Subsidiary that becomes a</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Foreign Subsidiary Borrower pursuant to Section 2.23 and that has not ceased to be a Foreign Subsidiary</w:t>
      </w:r>
    </w:p>
    <w:p>
      <w:pPr>
        <w:spacing w:after="0" w:line="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Borrower pursuant to such Section.</w:t>
      </w:r>
    </w:p>
    <w:p>
      <w:pPr>
        <w:spacing w:after="0" w:line="202" w:lineRule="exact"/>
        <w:rPr>
          <w:sz w:val="20"/>
          <w:szCs w:val="20"/>
          <w:color w:val="auto"/>
        </w:rPr>
      </w:pPr>
    </w:p>
    <w:p>
      <w:pPr>
        <w:jc w:val="both"/>
        <w:ind w:right="20"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68" w:lineRule="exact"/>
        <w:rPr>
          <w:sz w:val="20"/>
          <w:szCs w:val="20"/>
          <w:color w:val="auto"/>
        </w:rPr>
      </w:pPr>
    </w:p>
    <w:p>
      <w:pPr>
        <w:ind w:left="1180" w:right="430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179"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jc w:val="both"/>
        <w:ind w:right="20"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Leverage Ratio</w:t>
      </w:r>
      <w:r>
        <w:rPr>
          <w:rFonts w:ascii="Times New Roman" w:cs="Times New Roman" w:eastAsia="Times New Roman" w:hAnsi="Times New Roman"/>
          <w:sz w:val="18"/>
          <w:szCs w:val="18"/>
          <w:color w:val="auto"/>
        </w:rPr>
        <w:t>” means the ratio, determined as of the end of each of the Company’s Fiscal Quarters, of (i) Consolidated Total Indebtedness to (ii) Consolidated EBITDAR for the period of four (4) consecutive Fiscal Quarters ending with the end of such Fiscal Quarter, all calculated for the Company and its Subsidiaries on a consolidated basis.</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Ground Lease</w:t>
      </w:r>
      <w:r>
        <w:rPr>
          <w:rFonts w:ascii="Times New Roman" w:cs="Times New Roman" w:eastAsia="Times New Roman" w:hAnsi="Times New Roman"/>
          <w:sz w:val="18"/>
          <w:szCs w:val="18"/>
          <w:color w:val="auto"/>
        </w:rPr>
        <w:t>” has the meaning assigned to such term in the definition of “Hudson Yards Development”.</w:t>
      </w:r>
    </w:p>
    <w:p>
      <w:pPr>
        <w:spacing w:after="0" w:line="235"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w:t>
      </w:r>
    </w:p>
    <w:p>
      <w:pPr>
        <w:sectPr>
          <w:pgSz w:w="11900" w:h="16838" w:orient="portrait"/>
          <w:cols w:equalWidth="0" w:num="1">
            <w:col w:w="11260"/>
          </w:cols>
          <w:pgMar w:left="320" w:top="855" w:right="31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18"/>
          <w:szCs w:val="18"/>
          <w:color w:val="auto"/>
        </w:rPr>
        <w:t>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For purposes of all calculations provided for in this Agreement, the amount of any Guarantee of any guarantor shall be deemed to be the lower of (x) an amount equal to the stated or determinable amount of the primary obligation in respect of which such Guarantee is made and (y) the maximum amount for which such guarantor may be liable pursuant to the terms of the instrument embodying such Guarantee, unless such primary obligation and the maximum amount for which such guarantor may be liable are not stated or determinable, in which case the amount of such Guarantee shall be such guarantor’s maximum reasonably anticipated liability in respect thereof as determined by the Company in good faith.</w:t>
      </w:r>
    </w:p>
    <w:p>
      <w:pPr>
        <w:spacing w:after="0" w:line="200"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Hudson Yards Development</w:t>
      </w:r>
      <w:r>
        <w:rPr>
          <w:rFonts w:ascii="Times New Roman" w:cs="Times New Roman" w:eastAsia="Times New Roman" w:hAnsi="Times New Roman"/>
          <w:sz w:val="17"/>
          <w:szCs w:val="17"/>
          <w:color w:val="auto"/>
        </w:rPr>
        <w:t>” means (a) that certain Agreement of Severed Parcel Lease (Eastern Rail Yard Section of the John D. Caemmerer West Side Yard) (the “</w:t>
      </w:r>
      <w:r>
        <w:rPr>
          <w:rFonts w:ascii="Times New Roman" w:cs="Times New Roman" w:eastAsia="Times New Roman" w:hAnsi="Times New Roman"/>
          <w:sz w:val="17"/>
          <w:szCs w:val="17"/>
          <w:u w:val="single" w:color="auto"/>
          <w:color w:val="auto"/>
        </w:rPr>
        <w:t>Ground Lease</w:t>
      </w:r>
      <w:r>
        <w:rPr>
          <w:rFonts w:ascii="Times New Roman" w:cs="Times New Roman" w:eastAsia="Times New Roman" w:hAnsi="Times New Roman"/>
          <w:sz w:val="17"/>
          <w:szCs w:val="17"/>
          <w:color w:val="auto"/>
        </w:rPr>
        <w:t>”), dated as of April 10, 2013, between the Metropolitan Transportation Authority and Legacy Yards Tenant LLC (“</w:t>
      </w:r>
      <w:r>
        <w:rPr>
          <w:rFonts w:ascii="Times New Roman" w:cs="Times New Roman" w:eastAsia="Times New Roman" w:hAnsi="Times New Roman"/>
          <w:sz w:val="17"/>
          <w:szCs w:val="17"/>
          <w:u w:val="single" w:color="auto"/>
          <w:color w:val="auto"/>
        </w:rPr>
        <w:t>Legacy Yards Tenant</w:t>
      </w:r>
      <w:r>
        <w:rPr>
          <w:rFonts w:ascii="Times New Roman" w:cs="Times New Roman" w:eastAsia="Times New Roman" w:hAnsi="Times New Roman"/>
          <w:sz w:val="17"/>
          <w:szCs w:val="17"/>
          <w:color w:val="auto"/>
        </w:rPr>
        <w:t>”); (b) any improvements now or hereafter located on the land demised pursuant to the Ground Lease, including, but not limited to, that certain commercial building to be built thereon and any condominium units or common areas that may be created therein and thereon; and/or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Legacy Yards Tenant.</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has the meaning assigned to such term in the definition of UCP.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assigned to such term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w:t>
      </w:r>
    </w:p>
    <w:p>
      <w:pPr>
        <w:spacing w:after="0" w:line="14" w:lineRule="exact"/>
        <w:rPr>
          <w:sz w:val="20"/>
          <w:szCs w:val="20"/>
          <w:color w:val="auto"/>
        </w:rPr>
      </w:pPr>
    </w:p>
    <w:p>
      <w:pPr>
        <w:jc w:val="both"/>
        <w:ind w:firstLine="117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and any earnout obligations or similar deferred or contingent purchase price obligations not overdue, which are being contested in good faith or which do not appear as a liability on a balance sheet of such Person incurred in connection with any acquisition of property or series of related acquisitions of property that constitutes (i) assets comprising all or substantially all of a business or operating unit of a business, (ii) all or substantially all of the common stock or other Equity Interests of a Person or (iii) in any case where clauses (i) and (ii) above are inapplicable, the Acquired Rights), (e) all Indebtedness of others secured by any Lien on property owned or acquired by such Person (to the extent of such Person’s interest in such property), whether or not the Indebtedness secured thereby has been assumed, (f) all Guarantees by such Person of Indebtedness of others, (g) all Finance Lease Liabilities of such Person, (h) all obligations, contingent or otherwise, of such Person as an account party in respect of letters of credit and letters of guaranty, (i) all obligations, contingent or otherwise, of such Person in respect of bankers’ acceptances and (j) all payment and performance obligations of every kind, nature and description of such Person under or in connection with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purposes of all calculations provided for in this Agreement, there shall be disregarded any Guarantee of any Person in respect of any Indebtedness of any other Person with which the accounts of such first Person are then required to be consolidated in accordance with GAAP. For the avoidance of doubt, any amounts available and not drawn under the Commitments shall be deemed not to be Indebtedness and “Indebtedness” shall not</w:t>
      </w:r>
    </w:p>
    <w:p>
      <w:pPr>
        <w:sectPr>
          <w:pgSz w:w="11900" w:h="16838" w:orient="portrait"/>
          <w:cols w:equalWidth="0" w:num="1">
            <w:col w:w="11240"/>
          </w:cols>
          <w:pgMar w:left="320" w:top="634" w:right="339" w:bottom="1440" w:gutter="0" w:footer="0" w:header="0"/>
        </w:sectPr>
      </w:pPr>
    </w:p>
    <w:bookmarkStart w:id="101" w:name="page102"/>
    <w:bookmarkEnd w:id="101"/>
    <w:p>
      <w:pPr>
        <w:jc w:val="both"/>
        <w:spacing w:after="0" w:line="287" w:lineRule="auto"/>
        <w:rPr>
          <w:sz w:val="20"/>
          <w:szCs w:val="20"/>
          <w:color w:val="auto"/>
        </w:rPr>
      </w:pPr>
      <w:r>
        <w:rPr>
          <w:rFonts w:ascii="Times New Roman" w:cs="Times New Roman" w:eastAsia="Times New Roman" w:hAnsi="Times New Roman"/>
          <w:sz w:val="18"/>
          <w:szCs w:val="18"/>
          <w:color w:val="auto"/>
        </w:rPr>
        <w:t>include the obligations of any Person to pay rent or other amounts under any lease (or other arrangement conveying the right to use) real or personal property, or a combination thereof, which obligations would be required to be classified and accounted for as an Operating Lease.</w:t>
      </w:r>
    </w:p>
    <w:p>
      <w:pPr>
        <w:spacing w:after="0" w:line="15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Borrower under any Loan Document and (b) to the extent not otherwise described in clause (a), Other Taxes.</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2"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a Defaulting Lender, (c) the Company, any of its Subsidiaries or any of its Affiliates, or (d) a company, investment vehicle or trust for, or owned and operated for the primary benefit of, a natural person or relative(s) thereof.</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3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means, with respect to any Multiemployer Plan, the condition that such Multiemployer Plan is insolvent within the meaning of Section 4245 of ERISA.</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w:t>
      </w:r>
    </w:p>
    <w:p>
      <w:pPr>
        <w:spacing w:after="0" w:line="209"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ABR Loan (other than a Swingline Loan), the last Business Day of each March, June, September and December and the applicable Maturity Date, (b) with respect to any Term SOFR Loan or Alternative Currency Term Rate Loan, the last Business Day of the Interest Period applicable to the Borrowing of which such Loan is a part and, in the case of a Term SOFR Borrowing or Alternative Currency Term Rate with an Interest Period of more than three months’ duration, each day prior to the last day of such Interest Period that occurs at intervals of three months’ duration after the first Business Day of such Interest Period and the applicable Maturity Date, (c) as to any Alternative Currency Daily Rate Loan, the last Business Day of each March, June, September and December and the applicable Maturity Date and (d) with respect to any Swingline Loan, the day that such Loan is required to be repaid and the Revolving Credit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Payment Date would be a day other than a Business Day, such Interest Payment Date would be the next succeeding Business Day.</w:t>
      </w:r>
    </w:p>
    <w:p>
      <w:pPr>
        <w:spacing w:after="0" w:line="18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SOFR Borrowing and Alternative Currency Term Rate Borrowing, the period commencing on the date of such Borrowing and ending on the numerically corresponding day in the calendar month that is one, three or six months (or, if acceptable to all Lenders, such other period that is twelve months or less) thereafter, as the applicable Borrower (or the Company on behalf of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in the case of a Term SOFR Borrowing or Alternative Currency Term Rate Borrowing only, such next succeeding Business Day would fall in the next calendar month, in which case such Interest Period shall end on the next preceding Business Day, (ii) any Interest Period pertaining to a Term SOFR Borrowing or Alternative Currency Term Rate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applicable Maturity Date. For purposes hereof, the date of a Borrowing initially shall be the date on which such Borrowing is made and thereafter shall be the effective date of the most recent conversion or continuation of such Borrowing.</w:t>
      </w:r>
    </w:p>
    <w:p>
      <w:pPr>
        <w:spacing w:after="0" w:line="201"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any direct or indirect purchase or other acquisition by such Person of Equity Interests or other securities of, or any assets constituting a business unit of, any other Person, or any direct or indirect loan, advance or capital contribution by such Person to any other Person. In computing the amount involved in any Investment at the time outstanding, (a) undistributed</w:t>
      </w:r>
    </w:p>
    <w:p>
      <w:pPr>
        <w:sectPr>
          <w:pgSz w:w="11900" w:h="16838" w:orient="portrait"/>
          <w:cols w:equalWidth="0" w:num="1">
            <w:col w:w="11240"/>
          </w:cols>
          <w:pgMar w:left="320" w:top="634"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earnings of, and unpaid interest accrued in respect of Indebtedness owing by, such other Person shall not be included, (b) there shall not be deducted from the amounts invested in such other Person any amounts received as earnings (in the form of dividends, interest or otherwise) on such Investment or as loans from such other Person and (c) unrealized increases or decreases in value, or write-ups, write-downs or writeoffs, of Investments in such other Person shall be disregarded.</w:t>
      </w:r>
    </w:p>
    <w:p>
      <w:pPr>
        <w:spacing w:after="0" w:line="19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2"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in respect of Standby Letters of Credit, Bank of America, N.A., JPMorgan Chase Bank, N.A., HSBC Bank USA, N.A. and each other Lender designated by the Company as an “Issuing Bank” in respect of Standby Letters of Credit hereunder that has agreed to such designation (and is reasonably acceptable to the Administrative Agent) and (b) in respect of Commercial Letters of Credit, Bank of America, N.A. and each other Lender designated by the Company as an “Issuing Bank” in respect of Commercial Letters of Credit hereunder that has agreed to such designation (and is reasonably acceptable to the Administrative Agent), each in its capacity as an issuer of Letters of Credit hereunder, and its successors in such capacity as provided in Section 2.06(i). Bank of America,</w:t>
      </w:r>
    </w:p>
    <w:p>
      <w:pPr>
        <w:spacing w:after="0" w:line="5"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N.A. shall be the sole Issuing Bank with respect to Letters of Credit denominated in an Agreed Currency (other than Dollars) hereunder. Each Issuing Bank may, in its discretion, arrange for one or more Letters of Credit to be issued by Affiliates, including foreign Affiliates, of such Issuing Bank, in which case the term “Issuing Bank” shall include any such Affiliate with respect to Letters of Credit issued by such Affiliate.</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JPY</w:t>
      </w:r>
      <w:r>
        <w:rPr>
          <w:rFonts w:ascii="Times New Roman" w:cs="Times New Roman" w:eastAsia="Times New Roman" w:hAnsi="Times New Roman"/>
          <w:sz w:val="18"/>
          <w:szCs w:val="18"/>
          <w:color w:val="auto"/>
        </w:rPr>
        <w:t>” means the lawful currency of Japan. “</w:t>
      </w:r>
      <w:r>
        <w:rPr>
          <w:rFonts w:ascii="Times New Roman" w:cs="Times New Roman" w:eastAsia="Times New Roman" w:hAnsi="Times New Roman"/>
          <w:sz w:val="18"/>
          <w:szCs w:val="18"/>
          <w:u w:val="single" w:color="auto"/>
          <w:color w:val="auto"/>
        </w:rPr>
        <w:t>KPIs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15" w:lineRule="exact"/>
        <w:rPr>
          <w:sz w:val="20"/>
          <w:szCs w:val="20"/>
          <w:color w:val="auto"/>
        </w:rPr>
      </w:pPr>
    </w:p>
    <w:p>
      <w:pPr>
        <w:ind w:left="1180" w:right="384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155"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7"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means each of BofA Securities, Inc., JPMorgan Chase Bank, N.A. and HSBC Securities (USA), N.A. in its capacity as a joint lead arranger and joint bookrunner with respect to the credit facilities provided for under this Agreement.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Yards Tenant</w:t>
      </w:r>
      <w:r>
        <w:rPr>
          <w:rFonts w:ascii="Times New Roman" w:cs="Times New Roman" w:eastAsia="Times New Roman" w:hAnsi="Times New Roman"/>
          <w:sz w:val="18"/>
          <w:szCs w:val="18"/>
          <w:color w:val="auto"/>
        </w:rPr>
        <w:t>” has the meaning assigned to such term in the definition of “Hudson Yards Development”.</w:t>
      </w:r>
    </w:p>
    <w:p>
      <w:pPr>
        <w:spacing w:after="0" w:line="27" w:lineRule="exact"/>
        <w:rPr>
          <w:sz w:val="20"/>
          <w:szCs w:val="20"/>
          <w:color w:val="auto"/>
        </w:rPr>
      </w:pPr>
    </w:p>
    <w:p>
      <w:pPr>
        <w:ind w:right="480"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Notice Date</w:t>
      </w:r>
      <w:r>
        <w:rPr>
          <w:rFonts w:ascii="Times New Roman" w:cs="Times New Roman" w:eastAsia="Times New Roman" w:hAnsi="Times New Roman"/>
          <w:sz w:val="18"/>
          <w:szCs w:val="18"/>
          <w:color w:val="auto"/>
        </w:rPr>
        <w:t>” has the meaning assigned to such term in Section 2.25(b). “</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Party</w:t>
      </w:r>
      <w:r>
        <w:rPr>
          <w:rFonts w:ascii="Times New Roman" w:cs="Times New Roman" w:eastAsia="Times New Roman" w:hAnsi="Times New Roman"/>
          <w:sz w:val="18"/>
          <w:szCs w:val="18"/>
          <w:color w:val="auto"/>
        </w:rPr>
        <w:t>” means collectively, the Lenders, the</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Swingline Lenders and the Issuing Banks.</w:t>
      </w:r>
    </w:p>
    <w:p>
      <w:pPr>
        <w:spacing w:after="0" w:line="220" w:lineRule="exact"/>
        <w:rPr>
          <w:sz w:val="20"/>
          <w:szCs w:val="20"/>
          <w:color w:val="auto"/>
        </w:rPr>
      </w:pPr>
    </w:p>
    <w:p>
      <w:pPr>
        <w:jc w:val="both"/>
        <w:ind w:right="40"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Lender hereunder pursuant to Section 2.20 or pursuant to an Assignment and Assumption, other than any such Person that ceases to be a party hereto pursuant to an Assignment and Assumption. Unless the context otherwise requires, the term “Lenders” includes the Swingline Lender.</w:t>
      </w:r>
    </w:p>
    <w:p>
      <w:pPr>
        <w:sectPr>
          <w:pgSz w:w="11900" w:h="16838" w:orient="portrait"/>
          <w:cols w:equalWidth="0" w:num="1">
            <w:col w:w="11240"/>
          </w:cols>
          <w:pgMar w:left="320" w:top="634" w:right="339" w:bottom="1440" w:gutter="0" w:footer="0" w:header="0"/>
        </w:sectPr>
      </w:pPr>
    </w:p>
    <w:bookmarkStart w:id="103" w:name="page104"/>
    <w:bookmarkEnd w:id="103"/>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Commercial Letter of Credit or Standby Letter of Credit, including the Existing Letters of Credit.</w:t>
      </w:r>
    </w:p>
    <w:p>
      <w:pPr>
        <w:spacing w:after="0" w:line="235" w:lineRule="exact"/>
        <w:rPr>
          <w:sz w:val="20"/>
          <w:szCs w:val="20"/>
          <w:color w:val="auto"/>
        </w:rPr>
      </w:pPr>
    </w:p>
    <w:p>
      <w:pPr>
        <w:ind w:right="20"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 with respect to each Issuing Bank in respect of Standby Letters of Credit, the Dollar Amount set forth opposite its name on Schedule 2.06(A) hereto and</w:t>
      </w:r>
    </w:p>
    <w:p>
      <w:pPr>
        <w:spacing w:after="0" w:line="1" w:lineRule="exact"/>
        <w:rPr>
          <w:sz w:val="20"/>
          <w:szCs w:val="20"/>
          <w:color w:val="auto"/>
        </w:rPr>
      </w:pPr>
    </w:p>
    <w:p>
      <w:pPr>
        <w:ind w:right="20" w:firstLine="1176"/>
        <w:spacing w:after="0" w:line="272" w:lineRule="auto"/>
        <w:tabs>
          <w:tab w:leader="none" w:pos="14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Issuing Bank in respect of Commercial Letters of Credit, the Dollar Amount set forth opposite its name on Schedule 2.06(A) hereto, in each case as such Dollar Amount may be adjusted from time to time pursuant to the terms of this Agreement.</w:t>
      </w:r>
    </w:p>
    <w:p>
      <w:pPr>
        <w:spacing w:after="0" w:line="168"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Finance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92"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Borrowing Subsidiary Agreement, each Borrowing Subsidiary Termination, any promissory notes issued pursuant to Section 2.10(e) and any Letter of Credit applications now or hereafter executed by or on behalf of any Borrower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Installment Date</w:t>
      </w:r>
      <w:r>
        <w:rPr>
          <w:rFonts w:ascii="Times New Roman" w:cs="Times New Roman" w:eastAsia="Times New Roman" w:hAnsi="Times New Roman"/>
          <w:sz w:val="18"/>
          <w:szCs w:val="18"/>
          <w:color w:val="auto"/>
        </w:rPr>
        <w:t>” has the meaning assigned to such term in Section 2.10(b)(i).</w:t>
      </w:r>
    </w:p>
    <w:p>
      <w:pPr>
        <w:spacing w:after="0" w:line="235" w:lineRule="exact"/>
        <w:rPr>
          <w:sz w:val="20"/>
          <w:szCs w:val="20"/>
          <w:color w:val="auto"/>
        </w:rPr>
      </w:pPr>
    </w:p>
    <w:p>
      <w:pPr>
        <w:ind w:left="1180" w:right="434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w:t>
      </w:r>
      <w:r>
        <w:rPr>
          <w:rFonts w:ascii="Times New Roman" w:cs="Times New Roman" w:eastAsia="Times New Roman" w:hAnsi="Times New Roman"/>
          <w:sz w:val="18"/>
          <w:szCs w:val="18"/>
          <w:color w:val="auto"/>
        </w:rPr>
        <w:t>” means the Grand Duchy of Luxembourg.</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Domiciliation Law</w:t>
      </w:r>
      <w:r>
        <w:rPr>
          <w:rFonts w:ascii="Times New Roman" w:cs="Times New Roman" w:eastAsia="Times New Roman" w:hAnsi="Times New Roman"/>
          <w:sz w:val="18"/>
          <w:szCs w:val="18"/>
          <w:color w:val="auto"/>
        </w:rPr>
        <w:t>” shall mean the Luxembourg law of May 31, 1999, as amended, regarding the domiciliation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has the meaning assigned to such term in the definition of “Consolidated EBITDAR”.</w:t>
      </w:r>
    </w:p>
    <w:p>
      <w:pPr>
        <w:spacing w:after="0" w:line="23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property or financial condition of the Company and the Subsidiaries taken as a whole or (b) the rights and remedies, taken as a whole, of the Administrative Agent and the Lenders under the Loan Documents.</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has the meaning assigned to such term in the definition of “Consolidated EBITDAR”.</w:t>
      </w:r>
    </w:p>
    <w:p>
      <w:pPr>
        <w:spacing w:after="0" w:line="222"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of any one or more of the Company and its Subsidiaries in an aggregate principal amount exceeding $100,000,000.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ectPr>
          <w:pgSz w:w="11900" w:h="16838" w:orient="portrait"/>
          <w:cols w:equalWidth="0" w:num="1">
            <w:col w:w="11260"/>
          </w:cols>
          <w:pgMar w:left="320" w:top="634" w:right="319" w:bottom="1440" w:gutter="0" w:footer="0" w:header="0"/>
        </w:sectPr>
      </w:pPr>
    </w:p>
    <w:bookmarkStart w:id="104" w:name="page105"/>
    <w:bookmarkEnd w:id="104"/>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either the Revolving Credit Maturity Date or the Delayed Draw Term Loan Maturity Date, as the case may be.</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9.15.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ERISA.</w:t>
      </w:r>
    </w:p>
    <w:p>
      <w:pPr>
        <w:spacing w:after="0" w:line="219" w:lineRule="exact"/>
        <w:rPr>
          <w:sz w:val="20"/>
          <w:szCs w:val="20"/>
          <w:color w:val="auto"/>
        </w:rPr>
      </w:pPr>
    </w:p>
    <w:p>
      <w:pPr>
        <w:jc w:val="both"/>
        <w:ind w:firstLine="117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xml:space="preserve">” means, as of any date, the ratio of (i) Consolidated Total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by which the unrestricted cash and Permitted Investments of the Company and its Subsidiaries exceeds $300,000,000, to (ii) Consolidated EBITDAR for the period of four (4) consecutive Fiscal Quarters most recently ended, all calculated for the Company and its Subsidiaries on a consolidated basis.</w:t>
      </w:r>
    </w:p>
    <w:p>
      <w:pPr>
        <w:ind w:right="40" w:firstLine="117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2.25(b).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w:t>
      </w:r>
    </w:p>
    <w:p>
      <w:pPr>
        <w:ind w:left="1180"/>
        <w:spacing w:after="0"/>
        <w:rPr>
          <w:sz w:val="20"/>
          <w:szCs w:val="20"/>
          <w:color w:val="auto"/>
        </w:rPr>
      </w:pPr>
      <w:r>
        <w:rPr>
          <w:rFonts w:ascii="Times New Roman" w:cs="Times New Roman" w:eastAsia="Times New Roman" w:hAnsi="Times New Roman"/>
          <w:sz w:val="16"/>
          <w:szCs w:val="16"/>
          <w:color w:val="auto"/>
        </w:rPr>
        <w:t>Loans, all LC Exposure, all accrued and unpaid fees and all expenses, reimbursements, indemnities and</w:t>
      </w:r>
    </w:p>
    <w:p>
      <w:pPr>
        <w:spacing w:after="0" w:line="19" w:lineRule="exact"/>
        <w:rPr>
          <w:sz w:val="20"/>
          <w:szCs w:val="20"/>
          <w:color w:val="auto"/>
        </w:rPr>
      </w:pPr>
    </w:p>
    <w:p>
      <w:pPr>
        <w:jc w:val="both"/>
        <w:ind w:firstLine="1178"/>
        <w:spacing w:after="0" w:line="250" w:lineRule="auto"/>
        <w:rPr>
          <w:sz w:val="20"/>
          <w:szCs w:val="20"/>
          <w:color w:val="auto"/>
        </w:rPr>
      </w:pPr>
      <w:r>
        <w:rPr>
          <w:rFonts w:ascii="Times New Roman" w:cs="Times New Roman" w:eastAsia="Times New Roman" w:hAnsi="Times New Roman"/>
          <w:sz w:val="18"/>
          <w:szCs w:val="18"/>
          <w:color w:val="auto"/>
        </w:rPr>
        <w:t>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to the Lenders or any of their Affiliates in respect of any of the Loans made or reimbursement or other obligations incurred or any of the Letters of Credit or other instruments at any time evidencing any thereof.</w:t>
      </w:r>
    </w:p>
    <w:p>
      <w:pPr>
        <w:spacing w:after="0" w:line="20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2" w:lineRule="exact"/>
        <w:rPr>
          <w:sz w:val="20"/>
          <w:szCs w:val="20"/>
          <w:color w:val="auto"/>
        </w:rPr>
      </w:pPr>
    </w:p>
    <w:p>
      <w:pPr>
        <w:ind w:left="1180" w:right="378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any lease of property classified as an “operating lease” under GAAP.</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2.18(a).</w:t>
      </w:r>
    </w:p>
    <w:p>
      <w:pPr>
        <w:spacing w:after="0" w:line="222"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93" w:lineRule="exact"/>
        <w:rPr>
          <w:sz w:val="20"/>
          <w:szCs w:val="20"/>
          <w:color w:val="auto"/>
        </w:rPr>
      </w:pPr>
    </w:p>
    <w:p>
      <w:pPr>
        <w:jc w:val="both"/>
        <w:ind w:firstLine="117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Foreign Currency Rate</w:t>
      </w:r>
      <w:r>
        <w:rPr>
          <w:rFonts w:ascii="Times New Roman" w:cs="Times New Roman" w:eastAsia="Times New Roman" w:hAnsi="Times New Roman"/>
          <w:sz w:val="18"/>
          <w:szCs w:val="18"/>
          <w:color w:val="auto"/>
        </w:rPr>
        <w:t>” means, for any amount payable in a Foreign Currency, the rate of interest per annum as determined by the Administrative Agent at which overnight or weekend deposits in the relevant currency (or if such amount due remains unpaid for more than three</w:t>
      </w:r>
    </w:p>
    <w:p>
      <w:pPr>
        <w:spacing w:after="0" w:line="1" w:lineRule="exact"/>
        <w:rPr>
          <w:sz w:val="20"/>
          <w:szCs w:val="20"/>
          <w:color w:val="auto"/>
        </w:rPr>
      </w:pPr>
    </w:p>
    <w:p>
      <w:pPr>
        <w:ind w:firstLine="1176"/>
        <w:spacing w:after="0" w:line="264" w:lineRule="auto"/>
        <w:tabs>
          <w:tab w:leader="none" w:pos="14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then for such other period of time as the Administrative Agent may elect) for delivery in immediately available and freely transferable funds would be offered by the Administrative Agent to major banks in the interbank market upon request of such major banks for the</w:t>
      </w:r>
    </w:p>
    <w:p>
      <w:pPr>
        <w:sectPr>
          <w:pgSz w:w="11900" w:h="16838" w:orient="portrait"/>
          <w:cols w:equalWidth="0" w:num="1">
            <w:col w:w="11240"/>
          </w:cols>
          <w:pgMar w:left="320" w:top="855" w:right="339" w:bottom="1440" w:gutter="0" w:footer="0" w:header="0"/>
        </w:sectPr>
      </w:pPr>
    </w:p>
    <w:bookmarkStart w:id="105" w:name="page106"/>
    <w:bookmarkEnd w:id="105"/>
    <w:p>
      <w:pPr>
        <w:jc w:val="both"/>
        <w:spacing w:after="0" w:line="264" w:lineRule="auto"/>
        <w:rPr>
          <w:sz w:val="20"/>
          <w:szCs w:val="20"/>
          <w:color w:val="auto"/>
        </w:rPr>
      </w:pPr>
      <w:r>
        <w:rPr>
          <w:rFonts w:ascii="Times New Roman" w:cs="Times New Roman" w:eastAsia="Times New Roman" w:hAnsi="Times New Roman"/>
          <w:sz w:val="18"/>
          <w:szCs w:val="18"/>
          <w:color w:val="auto"/>
        </w:rPr>
        <w:t>relevant currency as determined above and in an amount comparable to the unpaid principal amount of the related Credit Event, plus any taxes, levies, imposts, duties, deductions, charges or withholdings imposed upon, or charged to, the Administrative Agent by any relevant correspondent bank in respect of such amount in such relevant currency.</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9.04(c).</w:t>
      </w:r>
    </w:p>
    <w:p>
      <w:pPr>
        <w:spacing w:after="0" w:line="7"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9"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(in one transaction or a series of related transactions) by the Company or any Subsidiary, on or after the Effective Date (whether effected through a purchase of Equity Interests or assets or through a merger, consolidation or amalgamation), of (i) another Person including the equity interest of any Person in which the Company or any Subsidiary owns an equity interest, (ii) the assets constituting all or substantially all of a business or operating business unit of another Person or (iii) in any case where clauses (i) and (ii) above are inapplicable, the rights of any licensee (including by means of the termination of such license’s rights under such license) under a trademark license to such licensee from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assets so acquired or, as the case may be, the assets of the Person so acquired shall be in a Related Line of Business, (b) no Event of Default shall have occurred and be continuing at the time thereof or would result therefrom, (c) such acquisition shall be effected in such manner so that the acquired Equity Interests, assets or rights are owned either by the Company or a Subsidiary and, if effected by merger, consolidation or amalgamation, the continuing, surviving or resulting entity shall be the Company or a Subsidiary, provided that, nothing in this clause shall be deemed to limit the ability of the Company or any Subsidiary to grant to a different licensee any acquired license rights described in clause (iii) above (or any rights derivative therefrom) and (d) the Company and its Subsidiaries shall be in compliance, on a pro forma basis after giving effect to such acquisition, with the covenant contained in Section 6.07 recomputed as at the last day of the most recently ended fiscal quarter of the Company for which financial statements are available, as if such acquisition had occurred on the first day of each relevant period for testing such compliance.</w:t>
      </w:r>
    </w:p>
    <w:p>
      <w:pPr>
        <w:spacing w:after="0" w:line="20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means such Person (i) the Company has identified to the Administrative Agent in writing on or prior to April 13, 2022 with respect to this Agreement and (ii) that constitutes lenders under the Existing Credit Agreement immediately prior to the Effective Date.</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35" w:lineRule="exact"/>
        <w:rPr>
          <w:sz w:val="20"/>
          <w:szCs w:val="20"/>
          <w:color w:val="auto"/>
        </w:rPr>
      </w:pPr>
    </w:p>
    <w:p>
      <w:pPr>
        <w:ind w:firstLine="1176"/>
        <w:spacing w:after="0" w:line="273" w:lineRule="auto"/>
        <w:tabs>
          <w:tab w:leader="none" w:pos="17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and duties, assessments, governmental charges or levies that are not yet due or are being contested in compliance with Section 5.04;</w:t>
      </w:r>
    </w:p>
    <w:p>
      <w:pPr>
        <w:spacing w:after="0" w:line="179" w:lineRule="exact"/>
        <w:rPr>
          <w:rFonts w:ascii="Times New Roman" w:cs="Times New Roman" w:eastAsia="Times New Roman" w:hAnsi="Times New Roman"/>
          <w:sz w:val="18"/>
          <w:szCs w:val="18"/>
          <w:color w:val="auto"/>
        </w:rPr>
      </w:pPr>
    </w:p>
    <w:p>
      <w:pPr>
        <w:jc w:val="both"/>
        <w:ind w:firstLine="1176"/>
        <w:spacing w:after="0" w:line="264" w:lineRule="auto"/>
        <w:tabs>
          <w:tab w:leader="none" w:pos="17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shippers’, materialmen’s, repairmen’s and other like Liens imposed by law, arising in the ordinary course of business and securing obligations that are not overdue by more than 45 days or are being contested in compliance with Section 5.04;</w:t>
      </w:r>
    </w:p>
    <w:p>
      <w:pPr>
        <w:spacing w:after="0" w:line="188" w:lineRule="exact"/>
        <w:rPr>
          <w:rFonts w:ascii="Times New Roman" w:cs="Times New Roman" w:eastAsia="Times New Roman" w:hAnsi="Times New Roman"/>
          <w:sz w:val="18"/>
          <w:szCs w:val="18"/>
          <w:color w:val="auto"/>
        </w:rPr>
      </w:pPr>
    </w:p>
    <w:p>
      <w:pPr>
        <w:ind w:firstLine="1176"/>
        <w:spacing w:after="0" w:line="273" w:lineRule="auto"/>
        <w:tabs>
          <w:tab w:leader="none" w:pos="17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connection with workers’ compensation, unemployment insurance, old age pensions and other social security laws or regulations, and pledges and deposits securing liability to insurance carriers under insurance or self-insurance arrangements;</w:t>
      </w:r>
    </w:p>
    <w:p>
      <w:pPr>
        <w:sectPr>
          <w:pgSz w:w="11900" w:h="16838" w:orient="portrait"/>
          <w:cols w:equalWidth="0" w:num="1">
            <w:col w:w="11240"/>
          </w:cols>
          <w:pgMar w:left="320" w:top="634" w:right="339" w:bottom="1440" w:gutter="0" w:footer="0" w:header="0"/>
        </w:sectPr>
      </w:pPr>
    </w:p>
    <w:bookmarkStart w:id="106" w:name="page107"/>
    <w:bookmarkEnd w:id="106"/>
    <w:p>
      <w:pPr>
        <w:jc w:val="both"/>
        <w:ind w:firstLine="1176"/>
        <w:spacing w:after="0" w:line="264" w:lineRule="auto"/>
        <w:tabs>
          <w:tab w:leader="none" w:pos="17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and deposits to secure the performance of tenders, bids, trade contracts, leases, public or statutory obligations, warranty requirements, customs, surety and appeal bonds, bonds posted in connection with actions, suits or proceedings, performance and bid bonds and other obligations of a like nature, in each case in the ordinary course of business;</w:t>
      </w:r>
    </w:p>
    <w:p>
      <w:pPr>
        <w:spacing w:after="0" w:line="188" w:lineRule="exact"/>
        <w:rPr>
          <w:rFonts w:ascii="Times New Roman" w:cs="Times New Roman" w:eastAsia="Times New Roman" w:hAnsi="Times New Roman"/>
          <w:sz w:val="18"/>
          <w:szCs w:val="18"/>
          <w:color w:val="auto"/>
        </w:rPr>
      </w:pPr>
    </w:p>
    <w:p>
      <w:pPr>
        <w:ind w:firstLine="1176"/>
        <w:spacing w:after="0" w:line="287" w:lineRule="auto"/>
        <w:tabs>
          <w:tab w:leader="none" w:pos="175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the sale, lease, transfer or other disposition of any credit card receivables of the Company or any of its Subsidiaries;</w:t>
      </w:r>
    </w:p>
    <w:p>
      <w:pPr>
        <w:spacing w:after="0" w:line="155"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attachment or other similar liens in respect of judgments that do not constitute an Event of Default under clause (k)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w:t>
      </w:r>
    </w:p>
    <w:p>
      <w:pPr>
        <w:spacing w:after="0" w:line="209" w:lineRule="exact"/>
        <w:rPr>
          <w:rFonts w:ascii="Times New Roman" w:cs="Times New Roman" w:eastAsia="Times New Roman" w:hAnsi="Times New Roman"/>
          <w:sz w:val="18"/>
          <w:szCs w:val="18"/>
          <w:color w:val="auto"/>
        </w:rPr>
      </w:pPr>
    </w:p>
    <w:p>
      <w:pPr>
        <w:jc w:val="both"/>
        <w:ind w:firstLine="1176"/>
        <w:spacing w:after="0" w:line="271" w:lineRule="auto"/>
        <w:tabs>
          <w:tab w:leader="none" w:pos="17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restrictive covenants, encroachments, rights-of-way and similar encumbrances on real property imposed by law or arising in the ordinary course of business that do not materially detract from the value of the affected property or interfere with the ordinary conduct of business of the Company or any Subsidiary; and</w:t>
      </w:r>
    </w:p>
    <w:p>
      <w:pPr>
        <w:spacing w:after="0" w:line="170"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possessory Liens in favor of brokers and dealers arising in connection with the acquisition or disposition of Permitted Investments;</w:t>
      </w:r>
    </w:p>
    <w:p>
      <w:pPr>
        <w:spacing w:after="0" w:line="2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 w:lineRule="exact"/>
        <w:rPr>
          <w:sz w:val="20"/>
          <w:szCs w:val="20"/>
          <w:color w:val="auto"/>
        </w:rPr>
      </w:pPr>
    </w:p>
    <w:p>
      <w:pPr>
        <w:jc w:val="both"/>
        <w:ind w:firstLine="1176"/>
        <w:spacing w:after="0" w:line="260" w:lineRule="auto"/>
        <w:tabs>
          <w:tab w:leader="none" w:pos="17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directly and fully guaranteed or insured by, the United States of America (or by any agency thereof to the extent such obligations are backed by the full faith and credit of the United States of America), any Participating Member State, the United Kingdom or Japan;</w:t>
      </w:r>
    </w:p>
    <w:p>
      <w:pPr>
        <w:spacing w:after="0" w:line="178"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having, at such date of acquisition, a credit rating of at least A-2 from S&amp;P or P-2 from Moody’s;</w:t>
      </w:r>
    </w:p>
    <w:p>
      <w:pPr>
        <w:spacing w:after="0" w:line="234" w:lineRule="exact"/>
        <w:rPr>
          <w:rFonts w:ascii="Times New Roman" w:cs="Times New Roman" w:eastAsia="Times New Roman" w:hAnsi="Times New Roman"/>
          <w:sz w:val="18"/>
          <w:szCs w:val="18"/>
          <w:color w:val="auto"/>
        </w:rPr>
      </w:pPr>
    </w:p>
    <w:p>
      <w:pPr>
        <w:jc w:val="both"/>
        <w:ind w:firstLine="1176"/>
        <w:spacing w:after="0" w:line="264" w:lineRule="auto"/>
        <w:tabs>
          <w:tab w:leader="none" w:pos="17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demand deposits, certificates of deposit, Term SOFR time deposits, banker’s acceptances and time deposits issued or guaranteed by or placed with, and money market deposit accounts issued or offered by, any Lender or any commercial bank which has a combined capital and surplus and undivided profits of not less than $100,000,000;</w:t>
      </w:r>
    </w:p>
    <w:p>
      <w:pPr>
        <w:spacing w:after="0" w:line="188" w:lineRule="exact"/>
        <w:rPr>
          <w:rFonts w:ascii="Times New Roman" w:cs="Times New Roman" w:eastAsia="Times New Roman" w:hAnsi="Times New Roman"/>
          <w:sz w:val="18"/>
          <w:szCs w:val="18"/>
          <w:color w:val="auto"/>
        </w:rPr>
      </w:pPr>
    </w:p>
    <w:p>
      <w:pPr>
        <w:ind w:firstLine="1176"/>
        <w:spacing w:after="0" w:line="273" w:lineRule="auto"/>
        <w:tabs>
          <w:tab w:leader="none" w:pos="17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with a term of not more than 180 days for securities described in clause (a) above and entered into with a financial institution satisfying the criteria described in clause (c) above;</w:t>
      </w:r>
    </w:p>
    <w:p>
      <w:pPr>
        <w:spacing w:after="0" w:line="179" w:lineRule="exact"/>
        <w:rPr>
          <w:rFonts w:ascii="Times New Roman" w:cs="Times New Roman" w:eastAsia="Times New Roman" w:hAnsi="Times New Roman"/>
          <w:sz w:val="18"/>
          <w:szCs w:val="18"/>
          <w:color w:val="auto"/>
        </w:rPr>
      </w:pPr>
    </w:p>
    <w:p>
      <w:pPr>
        <w:jc w:val="both"/>
        <w:ind w:firstLine="1176"/>
        <w:spacing w:after="0" w:line="257" w:lineRule="auto"/>
        <w:tabs>
          <w:tab w:leader="none" w:pos="17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three years or less from the date of acquisition issued or fully guaranteed by any state, commonwealth or territory of the United States or by any political subdivision or taxing authority of any such state, commonwealth or territory or by any foreign government, the securities of which state, commonwealth or territory, political subdivision, taxing authority or foreign government (as the case may be) are rated, at such date of acquisition, at least A- by S&amp;P or A3 by Moody’s;</w:t>
      </w:r>
    </w:p>
    <w:p>
      <w:pPr>
        <w:spacing w:after="0" w:line="193" w:lineRule="exact"/>
        <w:rPr>
          <w:rFonts w:ascii="Times New Roman" w:cs="Times New Roman" w:eastAsia="Times New Roman" w:hAnsi="Times New Roman"/>
          <w:sz w:val="18"/>
          <w:szCs w:val="18"/>
          <w:color w:val="auto"/>
        </w:rPr>
      </w:pPr>
    </w:p>
    <w:p>
      <w:pPr>
        <w:ind w:firstLine="1176"/>
        <w:spacing w:after="0" w:line="287" w:lineRule="auto"/>
        <w:tabs>
          <w:tab w:leader="none" w:pos="17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three years or less from the date of acquisition backed by standby letters of credit issued by any Lender or any commercial bank satisfying the requirements of clause (c) of this definition;</w:t>
      </w:r>
    </w:p>
    <w:p>
      <w:pPr>
        <w:spacing w:after="0" w:line="155" w:lineRule="exact"/>
        <w:rPr>
          <w:rFonts w:ascii="Times New Roman" w:cs="Times New Roman" w:eastAsia="Times New Roman" w:hAnsi="Times New Roman"/>
          <w:sz w:val="18"/>
          <w:szCs w:val="18"/>
          <w:color w:val="auto"/>
        </w:rPr>
      </w:pPr>
    </w:p>
    <w:p>
      <w:pPr>
        <w:jc w:val="both"/>
        <w:ind w:firstLine="1176"/>
        <w:spacing w:after="0" w:line="256" w:lineRule="auto"/>
        <w:tabs>
          <w:tab w:leader="none" w:pos="17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money market funds that (i) comply with the criteria set forth in (a) Securities and Exchange Commission Rule 2a-7 under the Investment Company Act of 1940, as amended or (b) Securities and Exchange Commission Rule 3c-7 under the Investment Company Act of 1940, as amended and (ii) have portfolio assets of at least (x) in the case of funds that invest exclusively in assets satisfying the requirements of clause (a) of this definition,</w:t>
      </w:r>
    </w:p>
    <w:p>
      <w:pPr>
        <w:spacing w:after="0" w:line="1"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and (y) in all other cases, $500,000,000;</w:t>
      </w:r>
    </w:p>
    <w:p>
      <w:pPr>
        <w:sectPr>
          <w:pgSz w:w="11900" w:h="16838" w:orient="portrait"/>
          <w:cols w:equalWidth="0" w:num="1">
            <w:col w:w="11240"/>
          </w:cols>
          <w:pgMar w:left="320" w:top="634" w:right="339" w:bottom="1440" w:gutter="0" w:footer="0" w:header="0"/>
        </w:sectPr>
      </w:pPr>
    </w:p>
    <w:bookmarkStart w:id="107" w:name="page108"/>
    <w:bookmarkEnd w:id="107"/>
    <w:p>
      <w:pPr>
        <w:ind w:firstLine="1176"/>
        <w:spacing w:after="0" w:line="287" w:lineRule="auto"/>
        <w:tabs>
          <w:tab w:leader="none" w:pos="17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investments by any Foreign Subsidiary, obligations of a credit quality and maturity comparable to that of the items referred to in clauses (a) through (g) above that are available in local markets;</w:t>
      </w:r>
    </w:p>
    <w:p>
      <w:pPr>
        <w:spacing w:after="0" w:line="155" w:lineRule="exact"/>
        <w:rPr>
          <w:rFonts w:ascii="Times New Roman" w:cs="Times New Roman" w:eastAsia="Times New Roman" w:hAnsi="Times New Roman"/>
          <w:sz w:val="18"/>
          <w:szCs w:val="18"/>
          <w:color w:val="auto"/>
        </w:rPr>
      </w:pPr>
    </w:p>
    <w:p>
      <w:pPr>
        <w:ind w:firstLine="1176"/>
        <w:spacing w:after="0" w:line="287" w:lineRule="auto"/>
        <w:tabs>
          <w:tab w:leader="none" w:pos="14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obligations with a Moody’s rating of at least Baa3 or an S&amp;P rating of at least BBB-, or their equivalent, as follows: (i) corporate notes and bonds and (ii) medium term notes; and</w:t>
      </w:r>
    </w:p>
    <w:p>
      <w:pPr>
        <w:spacing w:after="0" w:line="167" w:lineRule="exact"/>
        <w:rPr>
          <w:rFonts w:ascii="Times New Roman" w:cs="Times New Roman" w:eastAsia="Times New Roman" w:hAnsi="Times New Roman"/>
          <w:sz w:val="18"/>
          <w:szCs w:val="18"/>
          <w:color w:val="auto"/>
        </w:rPr>
      </w:pPr>
    </w:p>
    <w:p>
      <w:pPr>
        <w:ind w:left="1400" w:hanging="22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which invest primarily in the securities described in clauses (a) through</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 above.</w:t>
      </w:r>
    </w:p>
    <w:p>
      <w:pPr>
        <w:spacing w:after="0" w:line="21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79"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(within the meaning of Section 3(2) of ERISA, but not including any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means the lawful currency of the United Kingdom. “</w:t>
      </w:r>
      <w:r>
        <w:rPr>
          <w:rFonts w:ascii="Times New Roman" w:cs="Times New Roman" w:eastAsia="Times New Roman" w:hAnsi="Times New Roman"/>
          <w:sz w:val="18"/>
          <w:szCs w:val="18"/>
          <w:u w:val="single" w:color="auto"/>
          <w:color w:val="auto"/>
        </w:rPr>
        <w:t>Prepayment Notice</w:t>
      </w:r>
      <w:r>
        <w:rPr>
          <w:rFonts w:ascii="Times New Roman" w:cs="Times New Roman" w:eastAsia="Times New Roman" w:hAnsi="Times New Roman"/>
          <w:sz w:val="18"/>
          <w:szCs w:val="18"/>
          <w:color w:val="auto"/>
        </w:rPr>
        <w:t>” has the meaning assigned to such term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2.11(a).</w:t>
      </w:r>
    </w:p>
    <w:p>
      <w:pPr>
        <w:spacing w:after="0" w:line="14"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Bank of America, N.A. as its prime rate in effect at its principal office in New York City; each change in the Prime Rate shall be effective from and including the date such change is publicly announced as being effective.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w:t>
      </w:r>
    </w:p>
    <w:p>
      <w:pPr>
        <w:spacing w:after="0" w:line="196"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Indebtedness</w:t>
      </w:r>
      <w:r>
        <w:rPr>
          <w:rFonts w:ascii="Times New Roman" w:cs="Times New Roman" w:eastAsia="Times New Roman" w:hAnsi="Times New Roman"/>
          <w:sz w:val="18"/>
          <w:szCs w:val="18"/>
          <w:color w:val="auto"/>
        </w:rPr>
        <w:t>” means (a) Indebtedness of the Company or any Subsidiary (other than that described in Section 6.01(e)) secured by any Lien on any asset(s) of the Company or any Subsidiary and (b) Indebtedness of any Subsidiary, in each case owing to a Person other than the Company or any Subsidiary.</w:t>
      </w:r>
    </w:p>
    <w:p>
      <w:pPr>
        <w:spacing w:after="0" w:line="176"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14" w:lineRule="exact"/>
        <w:rPr>
          <w:sz w:val="20"/>
          <w:szCs w:val="20"/>
          <w:color w:val="auto"/>
        </w:rPr>
      </w:pPr>
    </w:p>
    <w:p>
      <w:pPr>
        <w:ind w:right="380"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such term in Section 9.18. “</w:t>
      </w:r>
      <w:r>
        <w:rPr>
          <w:rFonts w:ascii="Times New Roman" w:cs="Times New Roman" w:eastAsia="Times New Roman" w:hAnsi="Times New Roman"/>
          <w:sz w:val="18"/>
          <w:szCs w:val="18"/>
          <w:u w:val="single" w:color="auto"/>
          <w:color w:val="auto"/>
        </w:rPr>
        <w:t>Quotation Day</w:t>
      </w:r>
      <w:r>
        <w:rPr>
          <w:rFonts w:ascii="Times New Roman" w:cs="Times New Roman" w:eastAsia="Times New Roman" w:hAnsi="Times New Roman"/>
          <w:sz w:val="18"/>
          <w:szCs w:val="18"/>
          <w:color w:val="auto"/>
        </w:rPr>
        <w:t>” means, with respect to any Alternative Currency Loan for any Interest</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Period, (i) if the currency is Pounds Sterling, the first day of such Interest Period, (ii) if the currency is</w:t>
      </w:r>
    </w:p>
    <w:p>
      <w:pPr>
        <w:spacing w:after="0" w:line="19"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euro, the day that is two (2) TARGET2 Days before the first day of such Interest Period, and (iii) for any other currency, two Business Days prior to the commencement of such Interest Period (unless, in each case, market practice differs in the relevant market where the Relevant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84" w:lineRule="exact"/>
        <w:rPr>
          <w:sz w:val="20"/>
          <w:szCs w:val="20"/>
          <w:color w:val="auto"/>
        </w:rPr>
      </w:pPr>
    </w:p>
    <w:p>
      <w:pPr>
        <w:ind w:left="1180" w:right="366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or (c) any Issuing Bank, as applicable.</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has the meaning assigned to such term in the definition of “Consolidated EBITDAR”.</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ectPr>
          <w:pgSz w:w="11900" w:h="16838" w:orient="portrait"/>
          <w:cols w:equalWidth="0" w:num="1">
            <w:col w:w="11240"/>
          </w:cols>
          <w:pgMar w:left="320" w:top="634" w:right="339" w:bottom="1440" w:gutter="0" w:footer="0" w:header="0"/>
        </w:sectPr>
      </w:pPr>
    </w:p>
    <w:bookmarkStart w:id="108" w:name="page109"/>
    <w:bookmarkEnd w:id="108"/>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Line of Business</w:t>
      </w:r>
      <w:r>
        <w:rPr>
          <w:rFonts w:ascii="Times New Roman" w:cs="Times New Roman" w:eastAsia="Times New Roman" w:hAnsi="Times New Roman"/>
          <w:sz w:val="18"/>
          <w:szCs w:val="18"/>
          <w:color w:val="auto"/>
        </w:rPr>
        <w:t>” means: (a) any line of business in which the Company or any of its Subsidiaries is engaged as of, or immediately prior to, the Effective Date, (b) any wholesale, retail or other distribution of products or services under any domestic or foreign patent, trademark, service mark, trade name, copyright or license or (c) any similar, ancillary or related business and any business which provides a service and/or supplies products in connection with any business described in clause (a) or (b) above.</w:t>
      </w:r>
    </w:p>
    <w:p>
      <w:pPr>
        <w:spacing w:after="0" w:line="192"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9"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Loans denominated in Dollars, the Board and/or the Federal Reserve Bank of New York, or a committee officially endorsed or convened by the Board and/or the Federal Reserve Bank of New York, or, in each case, any successor thereto, (b) with respect to Loans denominated in Pounds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(d) with respect to Loans denominated in Japanese Yen, the Bank of Japan, or a committee officially endorsed or convened by the Bank of Japan or, in each case, any successor thereto, and (e) with respect to Loans denominated in any other Agreed Currency, (i) 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89"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Loan or Letter of Credit denominated in (a) Dollars, Term SOFR, (b) Pounds Sterling, SONIA, (c) euros, EURIBOR and (d) Japanese Yen, TIBOR, as applicable.</w:t>
      </w:r>
    </w:p>
    <w:p>
      <w:pPr>
        <w:spacing w:after="0" w:line="168"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“reportable event,” as defined in Section 4043(c) of ERISA or the regulations issued thereunder, with respect to a Plan, other than those events as to which notice is waived pursuant to DOL Regulation Section 4043 as in effect on the Effective Date (no matter how such notice requirement may be changed in the future).</w:t>
      </w:r>
    </w:p>
    <w:p>
      <w:pPr>
        <w:spacing w:after="0" w:line="176"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Credit Exposures and unused Commitments representing more than 50% of the sum of the total Credit Exposures and unused Commitments at such time.</w:t>
      </w:r>
    </w:p>
    <w:p>
      <w:pPr>
        <w:spacing w:after="0" w:line="15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means, at any time, Revolving Lenders having Revolving Credit Exposures and unused Revolving Commitments representing more than 50% of the sum of the total Revolving Credit Exposures and unused Revolving Commitments at such time.</w:t>
      </w:r>
    </w:p>
    <w:p>
      <w:pPr>
        <w:spacing w:after="0" w:line="168"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the Articles or Certificate of Incorporation and By-Laws, Articles or Certificate of Formation and Operating Agreement, or Certificate of Partnership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2.18(e)(ii)</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55" w:right="339" w:bottom="1440" w:gutter="0" w:footer="0" w:header="0"/>
        </w:sectPr>
      </w:pPr>
    </w:p>
    <w:bookmarkStart w:id="109" w:name="page110"/>
    <w:bookmarkEnd w:id="109"/>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35"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spacing w:after="0" w:line="179"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Effective Date to but excluding the earlier of the Revolving Credit Maturity Date and the date of termination of the Revolving Commitments.</w:t>
      </w:r>
    </w:p>
    <w:p>
      <w:pPr>
        <w:spacing w:after="0" w:line="155" w:lineRule="exact"/>
        <w:rPr>
          <w:sz w:val="20"/>
          <w:szCs w:val="20"/>
          <w:color w:val="auto"/>
        </w:rPr>
      </w:pPr>
    </w:p>
    <w:p>
      <w:pPr>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Lender, the commitment, if any,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Revolving Commitment is set forth on Schedule 2.01, or in the applicable documentation pursuant to which such Lender shall have assumed its Revolving Commitment pursuant to the terms hereof, as applicable. The aggregate amount of the Revolving Lenders’ Revolving Commitments on the Effective Date is $1,250,000,000.</w:t>
      </w:r>
    </w:p>
    <w:p>
      <w:pPr>
        <w:spacing w:after="0" w:line="197"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and its LC Exposure and Swingline Exposure at such time.</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Maturity Date</w:t>
      </w:r>
      <w:r>
        <w:rPr>
          <w:rFonts w:ascii="Times New Roman" w:cs="Times New Roman" w:eastAsia="Times New Roman" w:hAnsi="Times New Roman"/>
          <w:sz w:val="18"/>
          <w:szCs w:val="18"/>
          <w:color w:val="auto"/>
        </w:rPr>
        <w:t xml:space="preserve">” means the date that is five years after the Effective Date, as extended (in the case of each Revolving Lender consenting thereto) pursuant to Section 2.25;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Revolving Credit Maturity Date would be a day other than a Business Day, such Revolving Credit Maturity Date shall be the next succeeding Business Day.</w:t>
      </w:r>
    </w:p>
    <w:p>
      <w:pPr>
        <w:spacing w:after="0" w:line="188"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each Lender that has a Revolving Commitment or, if the Revolving Commitments have terminated or expired, a Lender with Revolving Credit Exposure.</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by a Revolving Lender pursuant to</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Section 2.01(a).</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S&amp;P Global, Inc.</w:t>
      </w:r>
    </w:p>
    <w:p>
      <w:pPr>
        <w:spacing w:after="0" w:line="222"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the U.S. Department of State, the United Nations Security Council, the European Union or any EU member state, or Her Majesty’s Treasury of the United Kingdom, or any Person 50% or more owned or controlled by one or more Persons listed on any such Sanctions-related list, or (b) any Person that is organized in or located or resident in an Embargoed Country.</w:t>
      </w:r>
    </w:p>
    <w:p>
      <w:pPr>
        <w:spacing w:after="0" w:line="192"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 member state or Her Majesty’s Treasury of the United Kingdom.</w:t>
      </w:r>
    </w:p>
    <w:p>
      <w:pPr>
        <w:spacing w:after="0" w:line="188" w:lineRule="exact"/>
        <w:rPr>
          <w:sz w:val="20"/>
          <w:szCs w:val="20"/>
          <w:color w:val="auto"/>
        </w:rPr>
      </w:pPr>
    </w:p>
    <w:p>
      <w:pPr>
        <w:ind w:left="1180" w:right="412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has the meaning assigned to such term in Section 2.14(b)(ii).</w:t>
      </w:r>
    </w:p>
    <w:p>
      <w:pPr>
        <w:sectPr>
          <w:pgSz w:w="11900" w:h="16838" w:orient="portrait"/>
          <w:cols w:equalWidth="0" w:num="1">
            <w:col w:w="11240"/>
          </w:cols>
          <w:pgMar w:left="320" w:top="634" w:right="339" w:bottom="1440" w:gutter="0" w:footer="0" w:header="0"/>
        </w:sectPr>
      </w:pPr>
    </w:p>
    <w:bookmarkStart w:id="110" w:name="page111"/>
    <w:bookmarkEnd w:id="110"/>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is a “Significant Subsidiary” as defined in Regulation S-X, part 210.1-02 of Title 17 of the Code of Federal Regulations.</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0.10%.</w:t>
      </w:r>
    </w:p>
    <w:p>
      <w:pPr>
        <w:spacing w:after="0" w:line="222"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w:t>
      </w:r>
    </w:p>
    <w:p>
      <w:pPr>
        <w:spacing w:after="0" w:line="168" w:lineRule="exact"/>
        <w:rPr>
          <w:sz w:val="20"/>
          <w:szCs w:val="20"/>
          <w:color w:val="auto"/>
        </w:rPr>
      </w:pPr>
    </w:p>
    <w:p>
      <w:pPr>
        <w:jc w:val="both"/>
        <w:ind w:firstLine="117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shall mean, with respect to the Company and its Subsidiaries, on a consolidated basis, after giving effect to the Transactions and the other transactions contemplated by the Credit Agreement, (i) the sum of the “fair value” of the assets of the Company and its Subsidiaries, taken as a whole, exceeds the sum of all debts of the Company and its Subsidiaries, taken as a whole, as such quoted terms are determined in accordance with applicable federal and state laws governing determinations of the insolvency of debtors, (ii) the “present fair saleable value” of the assets of the Company and its Subsidiaries, taken as a whole, is greater than the amount that will be required to pay the probable liability on debts of the Company and its Subsidiaries, taken as a whole, as such debts become absolute and matured, as such quoted term is determined in accordance with applicable federal and state laws governing determinations of the insolvency of debtors, (iii) the capital of the Company and its Subsidiaries, taken as a whole, is not unreasonably small in relation to the business in which they are or are about to become engaged, (iv) the Company and its Subsidiaries, taken as a whole, do not intend to incur, or believe that they will incur, debts beyond their ability to pay as they mature and (v) the Company and its Subsidiaries, taken as a whole, are presently able to pay their debts as such debts mature. For purposes of clauses (i) through (v) above, (a) (i) “debt” means liability on a “claim” and (ii) “claim” means any (x) right to payment, whether or not such a right is reduced to judgment, liquidated, unliquidated, fixed, contingent, matured, unmatured, disputed, undisputed, legal, equitable, subordinated,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and (b) the amount of any contingent, unliquidated and disputed claim and any claim that has not been reduced to judgment at any time has been computed as the amount that, in light of all the facts and circumstances existing at such time, represents the amount that can reasonably be expected to become an actual or matured liability (irrespective of whether such liabilities meet the criteria for accrual under the Financial Accounting Standards Board Statement of Financial Accounting Standards No. 5).</w:t>
      </w:r>
    </w:p>
    <w:p>
      <w:pPr>
        <w:spacing w:after="0" w:line="210"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93"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Letter of Credit</w:t>
      </w:r>
      <w:r>
        <w:rPr>
          <w:rFonts w:ascii="Times New Roman" w:cs="Times New Roman" w:eastAsia="Times New Roman" w:hAnsi="Times New Roman"/>
          <w:sz w:val="18"/>
          <w:szCs w:val="18"/>
          <w:color w:val="auto"/>
        </w:rPr>
        <w:t>” means an irrevocable letter of credit issued pursuant to this Agreement by an Issuing Bank pursuant to which such Issuing Bank agrees to make payments in an Agreed Currency in respect of obligations of the Borrower and/or its Subsidiaries incurred pursuant to contracts made or performances undertaken or to be undertaken or like matters relating to contracts to which such Borrower or Subsidiary, as applicable, is or proposes to become a party in the ordinary course of such</w:t>
      </w:r>
    </w:p>
    <w:p>
      <w:pPr>
        <w:sectPr>
          <w:pgSz w:w="11900" w:h="16838" w:orient="portrait"/>
          <w:cols w:equalWidth="0" w:num="1">
            <w:col w:w="11240"/>
          </w:cols>
          <w:pgMar w:left="320" w:top="85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Borrower’s or Subsidiary’s business, including, but not limited to, for insurance purposes and in connection with lease transactions.</w:t>
      </w:r>
    </w:p>
    <w:p>
      <w:pPr>
        <w:spacing w:after="0" w:line="23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w:t>
      </w:r>
      <w:r>
        <w:rPr>
          <w:rFonts w:ascii="Times New Roman" w:cs="Times New Roman" w:eastAsia="Times New Roman" w:hAnsi="Times New Roman"/>
          <w:sz w:val="18"/>
          <w:szCs w:val="18"/>
          <w:color w:val="auto"/>
        </w:rPr>
        <w:t>” means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the applicable currency. Such reserve, liquid asset, fees or similar requirements shall include those imposed pursuant to Regulation D of the Board. Term SOFR Loans and Alternative 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shall be adjusted automatically on and as of the effective date of any change in any reserve, liquid asset or similar requirement.</w:t>
      </w:r>
    </w:p>
    <w:p>
      <w:pPr>
        <w:spacing w:after="0" w:line="198"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 Obligations</w:t>
      </w:r>
      <w:r>
        <w:rPr>
          <w:rFonts w:ascii="Times New Roman" w:cs="Times New Roman" w:eastAsia="Times New Roman" w:hAnsi="Times New Roman"/>
          <w:sz w:val="17"/>
          <w:szCs w:val="17"/>
          <w:color w:val="auto"/>
        </w:rPr>
        <w:t>” has the meaning assigned to such term in Section 10.01(a). “</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ind w:firstLine="1178"/>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Acquisition</w:t>
      </w:r>
      <w:r>
        <w:rPr>
          <w:rFonts w:ascii="Times New Roman" w:cs="Times New Roman" w:eastAsia="Times New Roman" w:hAnsi="Times New Roman"/>
          <w:sz w:val="18"/>
          <w:szCs w:val="18"/>
          <w:color w:val="auto"/>
        </w:rPr>
        <w:t>” means the Company’s direct or indirect acquisition of all of the outstanding Equity Interests of the Sunrise Target in the manner contemplated by the Sunrise Acquisition Agreement.</w:t>
      </w:r>
    </w:p>
    <w:p>
      <w:pPr>
        <w:spacing w:after="0" w:line="168"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Acquisition Agreement</w:t>
      </w:r>
      <w:r>
        <w:rPr>
          <w:rFonts w:ascii="Times New Roman" w:cs="Times New Roman" w:eastAsia="Times New Roman" w:hAnsi="Times New Roman"/>
          <w:sz w:val="18"/>
          <w:szCs w:val="18"/>
          <w:color w:val="auto"/>
        </w:rPr>
        <w:t>” means that certain Agreement and Plan of Merger, dated as of August 10, 2023, by and among the Company, Sunrise Merger Sub and Sunrise Target.</w:t>
      </w:r>
    </w:p>
    <w:p>
      <w:pPr>
        <w:spacing w:after="0" w:line="155" w:lineRule="exact"/>
        <w:rPr>
          <w:sz w:val="20"/>
          <w:szCs w:val="20"/>
          <w:color w:val="auto"/>
        </w:rPr>
      </w:pPr>
    </w:p>
    <w:p>
      <w:pPr>
        <w:ind w:left="1180" w:right="404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Acquisition Closing Date</w:t>
      </w:r>
      <w:r>
        <w:rPr>
          <w:rFonts w:ascii="Times New Roman" w:cs="Times New Roman" w:eastAsia="Times New Roman" w:hAnsi="Times New Roman"/>
          <w:sz w:val="18"/>
          <w:szCs w:val="18"/>
          <w:color w:val="auto"/>
        </w:rPr>
        <w:t>” means the date of consummation of the Sunrise Acquisition.</w:t>
      </w:r>
    </w:p>
    <w:p>
      <w:pPr>
        <w:spacing w:after="0" w:line="155"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Certain Funds Advance</w:t>
      </w:r>
      <w:r>
        <w:rPr>
          <w:rFonts w:ascii="Times New Roman" w:cs="Times New Roman" w:eastAsia="Times New Roman" w:hAnsi="Times New Roman"/>
          <w:sz w:val="18"/>
          <w:szCs w:val="18"/>
          <w:color w:val="auto"/>
        </w:rPr>
        <w:t>” means a Revolving Loan denominated in Dollars to the Company made or to be made during the Sunrise Certain Funds Period where such Revolving Loans are to be made solely to the Company and to finance a Sunrise Certain Funds Purpose. For the avoidance of doubt, only the Company may request a Sunrise Certain Funds Advance.</w:t>
      </w:r>
    </w:p>
    <w:p>
      <w:pPr>
        <w:spacing w:after="0" w:line="170" w:lineRule="exact"/>
        <w:rPr>
          <w:sz w:val="20"/>
          <w:szCs w:val="20"/>
          <w:color w:val="auto"/>
        </w:rPr>
      </w:pPr>
    </w:p>
    <w:p>
      <w:pPr>
        <w:jc w:val="both"/>
        <w:ind w:firstLine="117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Certain Funds Period</w:t>
      </w:r>
      <w:r>
        <w:rPr>
          <w:rFonts w:ascii="Times New Roman" w:cs="Times New Roman" w:eastAsia="Times New Roman" w:hAnsi="Times New Roman"/>
          <w:sz w:val="18"/>
          <w:szCs w:val="18"/>
          <w:color w:val="auto"/>
        </w:rPr>
        <w:t>” means the period from and including the Amendment No. 1 Effective Date to the earliest of (i) the date that is five business days after the “Outside Date” (as defined in the Sunrise Acquisition Agreement in effect on August 10, 2023 and as such date may be extended in accordance with the terms of the Sunrise Acquisition Agreement in effect on August 10, 2023), (ii) the occurrence of the Sunrise Acquisition Closing Date without drawing on the Revolving Commitments, and (iii) the date the Company notifies the Administrative Agent in writing that the Sunrise Acquisition Agreement is terminated or a public announcement by the Company of its intention not to proceed with the Sunrise Acquisition.</w:t>
      </w:r>
    </w:p>
    <w:p>
      <w:pPr>
        <w:spacing w:after="0" w:line="179"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Sunrise Certain Funds Sublimit</w:t>
      </w:r>
      <w:r>
        <w:rPr>
          <w:rFonts w:ascii="Times New Roman" w:cs="Times New Roman" w:eastAsia="Times New Roman" w:hAnsi="Times New Roman"/>
          <w:sz w:val="18"/>
          <w:szCs w:val="18"/>
          <w:color w:val="auto"/>
        </w:rPr>
        <w:t>” means $250,000,000, which shall automatically be reduced $0 on the Sunrise Acquisition Closing Date (after giving effect to any Sunrise Certain Funds</w:t>
      </w:r>
    </w:p>
    <w:p>
      <w:pPr>
        <w:sectPr>
          <w:pgSz w:w="11900" w:h="16838" w:orient="portrait"/>
          <w:cols w:equalWidth="0" w:num="1">
            <w:col w:w="11240"/>
          </w:cols>
          <w:pgMar w:left="320" w:top="634" w:right="339" w:bottom="1440" w:gutter="0" w:footer="0" w:header="0"/>
        </w:sectPr>
      </w:pPr>
    </w:p>
    <w:bookmarkStart w:id="112" w:name="page113"/>
    <w:bookmarkEnd w:id="112"/>
    <w:p>
      <w:pPr>
        <w:jc w:val="both"/>
        <w:spacing w:after="0" w:line="287" w:lineRule="auto"/>
        <w:rPr>
          <w:sz w:val="20"/>
          <w:szCs w:val="20"/>
          <w:color w:val="auto"/>
        </w:rPr>
      </w:pPr>
      <w:r>
        <w:rPr>
          <w:rFonts w:ascii="Times New Roman" w:cs="Times New Roman" w:eastAsia="Times New Roman" w:hAnsi="Times New Roman"/>
          <w:sz w:val="18"/>
          <w:szCs w:val="18"/>
          <w:color w:val="auto"/>
        </w:rPr>
        <w:t>Advance made on such date). The Sunrise Certain Funds Sublimit is part of, and not in addition to, the Revolving Commitments, and shall expire at the end of the Sunrise Certain Funds Period.</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such term in Section 9.18. “</w:t>
      </w:r>
      <w:r>
        <w:rPr>
          <w:rFonts w:ascii="Times New Roman" w:cs="Times New Roman" w:eastAsia="Times New Roman" w:hAnsi="Times New Roman"/>
          <w:sz w:val="18"/>
          <w:szCs w:val="18"/>
          <w:u w:val="single" w:color="auto"/>
          <w:color w:val="auto"/>
        </w:rPr>
        <w:t>Sustainability Agent</w:t>
      </w:r>
      <w:r>
        <w:rPr>
          <w:rFonts w:ascii="Times New Roman" w:cs="Times New Roman" w:eastAsia="Times New Roman" w:hAnsi="Times New Roman"/>
          <w:sz w:val="18"/>
          <w:szCs w:val="18"/>
          <w:color w:val="auto"/>
        </w:rPr>
        <w:t>” means BofA Securities, Inc.</w:t>
      </w:r>
    </w:p>
    <w:p>
      <w:pPr>
        <w:spacing w:after="0" w:line="27" w:lineRule="exact"/>
        <w:rPr>
          <w:sz w:val="20"/>
          <w:szCs w:val="20"/>
          <w:color w:val="auto"/>
        </w:rPr>
      </w:pPr>
    </w:p>
    <w:p>
      <w:pPr>
        <w:jc w:val="both"/>
        <w:ind w:firstLine="117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Linked Loan Principles</w:t>
      </w:r>
      <w:r>
        <w:rPr>
          <w:rFonts w:ascii="Times New Roman" w:cs="Times New Roman" w:eastAsia="Times New Roman" w:hAnsi="Times New Roman"/>
          <w:sz w:val="18"/>
          <w:szCs w:val="18"/>
          <w:color w:val="auto"/>
        </w:rPr>
        <w:t>” means the Sustainability Linked Loan Principles published by the Loan Syndications &amp; Trading Association and the Loan Market Association, as updated through March 2022, or, if agreed by the Company and the Sustainability Agent, as most recently published by the Loan Syndications &amp; Trading Association and the Loan Market Association.</w:t>
      </w:r>
    </w:p>
    <w:p>
      <w:pPr>
        <w:spacing w:after="0" w:line="193"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cap or collar agreements or similar agreement involving, or settled by reference to, one or more interest or exchange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97"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Bank of America, N.A., in its capacity as lender of Swingline Loans hereunder and its successors in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2.05.</w:t>
      </w:r>
    </w:p>
    <w:p>
      <w:pPr>
        <w:spacing w:after="0" w:line="27" w:lineRule="exact"/>
        <w:rPr>
          <w:sz w:val="20"/>
          <w:szCs w:val="20"/>
          <w:color w:val="auto"/>
        </w:rPr>
      </w:pPr>
    </w:p>
    <w:p>
      <w:pPr>
        <w:jc w:val="both"/>
        <w:ind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has the meaning assigned to such term in Section 2.05(b). “</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w:t>
      </w:r>
    </w:p>
    <w:p>
      <w:pPr>
        <w:spacing w:after="0" w:line="2" w:lineRule="exact"/>
        <w:rPr>
          <w:sz w:val="20"/>
          <w:szCs w:val="20"/>
          <w:color w:val="auto"/>
        </w:rPr>
      </w:pPr>
    </w:p>
    <w:p>
      <w:pPr>
        <w:jc w:val="both"/>
        <w:ind w:firstLine="1178"/>
        <w:spacing w:after="0" w:line="272" w:lineRule="auto"/>
        <w:rPr>
          <w:sz w:val="20"/>
          <w:szCs w:val="20"/>
          <w:color w:val="auto"/>
        </w:rPr>
      </w:pPr>
      <w:r>
        <w:rPr>
          <w:rFonts w:ascii="Times New Roman" w:cs="Times New Roman" w:eastAsia="Times New Roman" w:hAnsi="Times New Roman"/>
          <w:sz w:val="18"/>
          <w:szCs w:val="18"/>
          <w:color w:val="auto"/>
        </w:rPr>
        <w:t>Transfer (TARGET2) payment system (or, if such payment system ceases to be operative, such other payment system (if any) reasonably determined by the Administrative Agent to be a suitable replacement) for the settlement of payments in euro.</w:t>
      </w:r>
    </w:p>
    <w:p>
      <w:pPr>
        <w:spacing w:after="0" w:line="168" w:lineRule="exact"/>
        <w:rPr>
          <w:sz w:val="20"/>
          <w:szCs w:val="20"/>
          <w:color w:val="auto"/>
        </w:rPr>
      </w:pPr>
    </w:p>
    <w:p>
      <w:pPr>
        <w:ind w:left="1180" w:right="372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 Day</w:t>
      </w:r>
      <w:r>
        <w:rPr>
          <w:rFonts w:ascii="Times New Roman" w:cs="Times New Roman" w:eastAsia="Times New Roman" w:hAnsi="Times New Roman"/>
          <w:sz w:val="18"/>
          <w:szCs w:val="18"/>
          <w:color w:val="auto"/>
        </w:rPr>
        <w:t>” means a day that TARGET2 is open for the settlement of payments in euro.</w:t>
      </w:r>
    </w:p>
    <w:p>
      <w:pPr>
        <w:spacing w:after="0" w:line="155"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35" w:lineRule="exact"/>
        <w:rPr>
          <w:sz w:val="20"/>
          <w:szCs w:val="20"/>
          <w:color w:val="auto"/>
        </w:rPr>
      </w:pPr>
    </w:p>
    <w:p>
      <w:pPr>
        <w:jc w:val="both"/>
        <w:ind w:firstLine="1176"/>
        <w:spacing w:after="0" w:line="261" w:lineRule="auto"/>
        <w:tabs>
          <w:tab w:leader="none" w:pos="17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and</w:t>
      </w:r>
    </w:p>
    <w:p>
      <w:pPr>
        <w:spacing w:after="0" w:line="179" w:lineRule="exact"/>
        <w:rPr>
          <w:rFonts w:ascii="Times New Roman" w:cs="Times New Roman" w:eastAsia="Times New Roman" w:hAnsi="Times New Roman"/>
          <w:sz w:val="18"/>
          <w:szCs w:val="18"/>
          <w:color w:val="auto"/>
        </w:rPr>
      </w:pPr>
    </w:p>
    <w:p>
      <w:pPr>
        <w:ind w:firstLine="1176"/>
        <w:spacing w:after="0" w:line="287" w:lineRule="auto"/>
        <w:tabs>
          <w:tab w:leader="none" w:pos="17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an Alternate Base Rate Loan on any date, the rate per annum equal to the Term SOFR Screen Rate with a term of one month commencing that day;</w:t>
      </w:r>
    </w:p>
    <w:p>
      <w:pPr>
        <w:spacing w:after="0" w:line="168"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Term SOFR shall be deemed zero for purposes of this Agreement.</w:t>
      </w:r>
    </w:p>
    <w:p>
      <w:pPr>
        <w:sectPr>
          <w:pgSz w:w="11900" w:h="16838" w:orient="portrait"/>
          <w:cols w:equalWidth="0" w:num="1">
            <w:col w:w="11240"/>
          </w:cols>
          <w:pgMar w:left="320" w:top="634" w:right="339" w:bottom="1440" w:gutter="0" w:footer="0" w:header="0"/>
        </w:sectPr>
      </w:pPr>
    </w:p>
    <w:bookmarkStart w:id="113" w:name="page114"/>
    <w:bookmarkEnd w:id="113"/>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clause (a) of the definition of Term SOFR.</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assigned to such term in the definition of “Alternative Currency Term Rate”.</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at any time, the total assets of the Company and its Subsidiaries, determined on a consolidated basis in accordance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GAAP.</w:t>
      </w:r>
    </w:p>
    <w:p>
      <w:pPr>
        <w:spacing w:after="0" w:line="221"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an Alternative Currency Daily Rate, an Alternative Currency Term Rate or the Alternate Base Rate.</w:t>
      </w:r>
    </w:p>
    <w:p>
      <w:pPr>
        <w:spacing w:after="0" w:line="188"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Letter of Credit, the Uniform Customs and Practice for Documentary Credits,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79"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35" w:lineRule="exact"/>
        <w:rPr>
          <w:sz w:val="20"/>
          <w:szCs w:val="20"/>
          <w:color w:val="auto"/>
        </w:rPr>
      </w:pPr>
    </w:p>
    <w:p>
      <w:pPr>
        <w:ind w:left="1180" w:right="394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has the meaning assigned to such term in Section 9.18.</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2"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ectPr>
          <w:pgSz w:w="11900" w:h="16838" w:orient="portrait"/>
          <w:cols w:equalWidth="0" w:num="1">
            <w:col w:w="11240"/>
          </w:cols>
          <w:pgMar w:left="320" w:top="634" w:right="339" w:bottom="1440" w:gutter="0" w:footer="0" w:header="0"/>
        </w:sectPr>
      </w:pPr>
    </w:p>
    <w:bookmarkStart w:id="114" w:name="page115"/>
    <w:bookmarkEnd w:id="114"/>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Borrower and the Administrative Agent.</w:t>
      </w:r>
    </w:p>
    <w:p>
      <w:pPr>
        <w:spacing w:after="0" w:line="23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7"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010000"/>
        </w:rPr>
        <w:t xml:space="preserve">SECTION 1.02. </w:t>
      </w:r>
      <w:r>
        <w:rPr>
          <w:rFonts w:ascii="Times New Roman" w:cs="Times New Roman" w:eastAsia="Times New Roman" w:hAnsi="Times New Roman"/>
          <w:sz w:val="18"/>
          <w:szCs w:val="18"/>
          <w:u w:val="single" w:color="auto"/>
          <w:color w:val="000000"/>
        </w:rPr>
        <w:t>Classification of Loans and Borrowings</w:t>
      </w:r>
      <w:r>
        <w:rPr>
          <w:rFonts w:ascii="Times New Roman" w:cs="Times New Roman" w:eastAsia="Times New Roman" w:hAnsi="Times New Roman"/>
          <w:sz w:val="18"/>
          <w:szCs w:val="18"/>
          <w:color w:val="000000"/>
        </w:rPr>
        <w:t>. For purposes of this Agreement, Loans may be classified and referred to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Class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Revolving Loan</w:t>
      </w:r>
      <w:r>
        <w:rPr>
          <w:rFonts w:ascii="Times New Roman" w:cs="Times New Roman" w:eastAsia="Times New Roman" w:hAnsi="Times New Roman"/>
          <w:sz w:val="18"/>
          <w:szCs w:val="18"/>
          <w:color w:val="000000"/>
        </w:rPr>
        <w:t>”) or by 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Term SOFR Loan</w:t>
      </w:r>
      <w:r>
        <w:rPr>
          <w:rFonts w:ascii="Times New Roman" w:cs="Times New Roman" w:eastAsia="Times New Roman" w:hAnsi="Times New Roman"/>
          <w:sz w:val="18"/>
          <w:szCs w:val="18"/>
          <w:color w:val="000000"/>
        </w:rPr>
        <w:t>”) or by Class and 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Term SOFR Revolving Loan</w:t>
      </w:r>
      <w:r>
        <w:rPr>
          <w:rFonts w:ascii="Times New Roman" w:cs="Times New Roman" w:eastAsia="Times New Roman" w:hAnsi="Times New Roman"/>
          <w:sz w:val="18"/>
          <w:szCs w:val="18"/>
          <w:color w:val="000000"/>
        </w:rPr>
        <w:t>”). Borrowings also may be classified and referred to by Class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Revolving Borrowing</w:t>
      </w:r>
      <w:r>
        <w:rPr>
          <w:rFonts w:ascii="Times New Roman" w:cs="Times New Roman" w:eastAsia="Times New Roman" w:hAnsi="Times New Roman"/>
          <w:sz w:val="18"/>
          <w:szCs w:val="18"/>
          <w:color w:val="000000"/>
        </w:rPr>
        <w:t>”) or by 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Term SOFR Borrowing</w:t>
      </w:r>
      <w:r>
        <w:rPr>
          <w:rFonts w:ascii="Times New Roman" w:cs="Times New Roman" w:eastAsia="Times New Roman" w:hAnsi="Times New Roman"/>
          <w:sz w:val="18"/>
          <w:szCs w:val="18"/>
          <w:color w:val="000000"/>
        </w:rPr>
        <w:t>”) or by Class and 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w:t>
      </w:r>
      <w:r>
        <w:rPr>
          <w:rFonts w:ascii="Times New Roman" w:cs="Times New Roman" w:eastAsia="Times New Roman" w:hAnsi="Times New Roman"/>
          <w:sz w:val="18"/>
          <w:szCs w:val="18"/>
          <w:u w:val="single" w:color="auto"/>
          <w:color w:val="000000"/>
        </w:rPr>
        <w:t>Term SOFR Revolving Borrowing</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right="240"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u w:val="single" w:color="auto"/>
          <w:color w:val="000000"/>
        </w:rPr>
        <w:t>Terms Generally</w:t>
      </w:r>
      <w:r>
        <w:rPr>
          <w:rFonts w:ascii="Times New Roman" w:cs="Times New Roman" w:eastAsia="Times New Roman" w:hAnsi="Times New Roman"/>
          <w:sz w:val="18"/>
          <w:szCs w:val="18"/>
          <w:color w:val="000000"/>
        </w:rPr>
        <w:t>. The definitions of terms herein shall apply equally to the singular and plural forms of the terms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5" w:lineRule="exact"/>
        <w:rPr>
          <w:sz w:val="20"/>
          <w:szCs w:val="20"/>
          <w:color w:val="auto"/>
        </w:rPr>
      </w:pPr>
    </w:p>
    <w:p>
      <w:pPr>
        <w:jc w:val="both"/>
        <w:ind w:firstLine="1176"/>
        <w:spacing w:after="0" w:line="250" w:lineRule="auto"/>
        <w:tabs>
          <w:tab w:leader="none" w:pos="14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3" w:lineRule="exact"/>
        <w:rPr>
          <w:rFonts w:ascii="Times New Roman" w:cs="Times New Roman" w:eastAsia="Times New Roman" w:hAnsi="Times New Roman"/>
          <w:sz w:val="18"/>
          <w:szCs w:val="18"/>
          <w:color w:val="auto"/>
        </w:rPr>
      </w:pPr>
    </w:p>
    <w:p>
      <w:pPr>
        <w:jc w:val="both"/>
        <w:ind w:firstLine="117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u w:val="single" w:color="auto"/>
          <w:color w:val="000000"/>
        </w:rPr>
        <w:t>Accounting Terms; GAAP; Exchange Rates</w:t>
      </w:r>
      <w:r>
        <w:rPr>
          <w:rFonts w:ascii="Times New Roman" w:cs="Times New Roman" w:eastAsia="Times New Roman" w:hAnsi="Times New Roman"/>
          <w:sz w:val="18"/>
          <w:szCs w:val="18"/>
          <w:color w:val="000000"/>
        </w:rPr>
        <w:t>. (a) Except as otherwise expressly provided herein, all terms of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accounting or financial nature shall be construed in accordance with GAAP, as in effect from time to time;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Company notifies the Administrative Agent that the Company requests an amendment to any provision hereof to eliminate the effect of any change occurring after the Effective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w:t>
      </w:r>
    </w:p>
    <w:p>
      <w:pPr>
        <w:sectPr>
          <w:pgSz w:w="11900" w:h="16838" w:orient="portrait"/>
          <w:cols w:equalWidth="0" w:num="1">
            <w:col w:w="11240"/>
          </w:cols>
          <w:pgMar w:left="320" w:top="855" w:right="339" w:bottom="1440" w:gutter="0" w:footer="0" w:header="0"/>
        </w:sectPr>
      </w:pPr>
    </w:p>
    <w:bookmarkStart w:id="115" w:name="page116"/>
    <w:bookmarkEnd w:id="115"/>
    <w:p>
      <w:pPr>
        <w:jc w:val="both"/>
        <w:spacing w:after="0" w:line="252" w:lineRule="auto"/>
        <w:rPr>
          <w:sz w:val="20"/>
          <w:szCs w:val="20"/>
          <w:color w:val="auto"/>
        </w:rPr>
      </w:pPr>
      <w:r>
        <w:rPr>
          <w:rFonts w:ascii="Times New Roman" w:cs="Times New Roman" w:eastAsia="Times New Roman" w:hAnsi="Times New Roman"/>
          <w:sz w:val="18"/>
          <w:szCs w:val="18"/>
          <w:color w:val="auto"/>
        </w:rPr>
        <w:t>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in connection with the adoption by the Company of the standards set forth in Financial Accounting Standards Board Accounting Standards Codification 842, the Administrative Agent and the Company (x) identify a defect hereto or (y) determine that an amendment relating to the provisions hereof with respect to the treatment of leases in terms of an accounting or financial nature is required to give effect to the terms of this Agreement in connection with the application of such standard, this Agreement may be amended by an agreement in writing entered into by the Administrative Agent and the Company to cure such defect or amend any applicable provisions (and the Lenders party to this Agreement hereby authorize such amendment and, subject to the immediately following proviso, shall be deemed to have consented to such amendment), provided that such amendment shall only be effective to amend the provisions hereof if (i) the Lenders shall have received at least five Business Days’ prior written notice thereof, together with a copy thereof, and (ii) the Administrative Agent shall not have received, within five Business Days of the date of such notice to the Lenders, a written notice from the Required Lenders stating that the Required Lenders object to such amendment.</w:t>
      </w:r>
    </w:p>
    <w:p>
      <w:pPr>
        <w:spacing w:after="0" w:line="1" w:lineRule="exact"/>
        <w:rPr>
          <w:sz w:val="20"/>
          <w:szCs w:val="20"/>
          <w:color w:val="auto"/>
        </w:rPr>
      </w:pPr>
    </w:p>
    <w:p>
      <w:pPr>
        <w:jc w:val="both"/>
        <w:ind w:firstLine="1176"/>
        <w:spacing w:after="0" w:line="252" w:lineRule="auto"/>
        <w:tabs>
          <w:tab w:leader="none" w:pos="17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(i) determining the amount of Indebtedness incurred, outstanding or proposed to be incurred or outstanding under Section 6.01 (but excluding, for the avoidance of doubt, any calculation of Consolidated Net Worth or Consolidated EBITDAR), (ii) determining the amount of obligations secured by Liens incurred, outstanding or proposed to be incurred or outstanding under Section 6.02, or (iii) determining the amount of Material Indebtedness, the net assets of a Person or judgments outstanding under paragraphs (f), (g), (h), (i), (j) or (k)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all amounts incurred, outstanding or proposed to be incurred or outstanding in currencies other than Dollars shall be translated into dollars at the Exchange Rate on the applicable date, provided that no Default shall arise as a result of any limitation set forth in Dollars in Section 6.01 or 6.02 being exceeded solely as a result of changes in Exchange Rates from those rates applicable at the time or times Indebtedness or obligations secured by Liens were initially consummated or acquired in reliance on the exceptions under such Sections.</w:t>
      </w:r>
    </w:p>
    <w:p>
      <w:pPr>
        <w:spacing w:after="0" w:line="18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u w:val="single" w:color="auto"/>
          <w:color w:val="000000"/>
        </w:rPr>
        <w:t>LLC Division/Series Transactions</w:t>
      </w:r>
      <w:r>
        <w:rPr>
          <w:rFonts w:ascii="Times New Roman" w:cs="Times New Roman" w:eastAsia="Times New Roman" w:hAnsi="Times New Roman"/>
          <w:sz w:val="18"/>
          <w:szCs w:val="18"/>
          <w:color w:val="000000"/>
        </w:rPr>
        <w:t>. Any reference herein to a merger, transfer, consolidation, amalgamation,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7"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1.06. </w:t>
      </w:r>
      <w:r>
        <w:rPr>
          <w:rFonts w:ascii="Times New Roman" w:cs="Times New Roman" w:eastAsia="Times New Roman" w:hAnsi="Times New Roman"/>
          <w:sz w:val="18"/>
          <w:szCs w:val="18"/>
          <w:u w:val="single" w:color="auto"/>
          <w:color w:val="000000"/>
        </w:rPr>
        <w:t>Interest Rates</w:t>
      </w:r>
      <w:r>
        <w:rPr>
          <w:rFonts w:ascii="Times New Roman" w:cs="Times New Roman" w:eastAsia="Times New Roman" w:hAnsi="Times New Roman"/>
          <w:sz w:val="18"/>
          <w:szCs w:val="18"/>
          <w:color w:val="000000"/>
        </w:rPr>
        <w:t>. The Administrative Agent does not warrant, nor accept responsibility, nor shall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w:t>
      </w:r>
    </w:p>
    <w:p>
      <w:pPr>
        <w:sectPr>
          <w:pgSz w:w="11900" w:h="16838" w:orient="portrait"/>
          <w:cols w:equalWidth="0" w:num="1">
            <w:col w:w="11240"/>
          </w:cols>
          <w:pgMar w:left="320" w:top="634"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9"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1.07.</w:t>
      </w:r>
      <w:r>
        <w:rPr>
          <w:sz w:val="20"/>
          <w:szCs w:val="20"/>
          <w:color w:val="auto"/>
        </w:rPr>
        <w:tab/>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both"/>
        <w:ind w:firstLine="1176"/>
        <w:spacing w:after="0" w:line="252" w:lineRule="auto"/>
        <w:tabs>
          <w:tab w:leader="none" w:pos="1758"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may from time to time request that Revolving Loans be made and/or Letters of Credit be issued in a currency other than those specifically listed in the definition of “Agreed Currency;” provided that such requested currency is a lawful currency that is readily available and freely transferable and convertible into Dollars. In the case of any such request with respect to Revolving Borrowings, such request shall be subject to the approval of the Administrative Agent and each Revolving Lender; and in the case of any such request with respect to the issuance of Letters of Credit, such request shall be subject to the approval of the Administrative Agent and the applicable Issuing Bank.Any such request shall be made to the Administrative Agent not later than 11:00 a.m., 20 Business Days prior to the date of the desired Revolving Loan or Letter of Credit issuance date (or such other time or date as may be agreed by the Administrative Agent and, in the case of any such request pertaining to Letters of Credit, the applicable Issuing Bank, in its or their sole discretion). In the case of any such request pertaining to Revolving Borrowings, the Administrative Agent shall promptly notify each Revolving Lender thereof; and in the case of any such request pertaining to Letters of Credit, the Administrative Agent shall promptly notify the applicable Issuing Bank thereof. Each Lender (in the case of any such request pertaining to Revolving Borrowings) or the applicable Issuing Bank (in the case of a request pertaining to Letters of Credit) shall notify the Administrative Agent, not later than 11:00 a.m., 5 Business Days after receipt of such request whether it consents, in its sole discretion, to the Revolving Borrowing or the issuance of Letters of Credit, as the case may be, in such requested currency.</w:t>
      </w:r>
    </w:p>
    <w:p>
      <w:pPr>
        <w:spacing w:after="0" w:line="202" w:lineRule="exact"/>
        <w:rPr>
          <w:sz w:val="20"/>
          <w:szCs w:val="20"/>
          <w:color w:val="auto"/>
        </w:rPr>
      </w:pPr>
    </w:p>
    <w:p>
      <w:pPr>
        <w:jc w:val="both"/>
        <w:ind w:firstLine="1176"/>
        <w:spacing w:after="0" w:line="254" w:lineRule="auto"/>
        <w:tabs>
          <w:tab w:leader="none" w:pos="1758"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failure by a Revolving Lender or the applicable Issuing Bank, as the case may be, to respond to such request within the time period specified in the preceding sentence shall be deemed to be a refusal by such Revolving Lender or such Issuing Bank, as the case may be, to permit Revolving Borrowings be made or Letters of Credit to be issued in such requested currency. If the Administrative Agent and all the Revolving Lenders consent to making Revolving Loans in such requested currency, the Administrative Agent shall so notify the Company and such currency shall thereupon be deemed for all purposes to be an Agreed Currency hereunder for purposes of any Revolving Borrowings; and if the Administrative Agent and the applicable Issuing Bank consent to the issuance of Letters of Credit in such requested currency, the Administrative Agent shall so notify the Company and such currency shall thereupon be deemed for all purposes to be an Agreed Currency hereunder for purposes of any Letter of Credit issuances by such Issuing Bank. If the Administrative Agent shall fail to obtain consent to any request for an additional currency under this Section 1.07, the Administrative Agent shall promptly so notify the Company.</w:t>
      </w:r>
    </w:p>
    <w:p>
      <w:pPr>
        <w:sectPr>
          <w:pgSz w:w="11900" w:h="16838" w:orient="portrait"/>
          <w:cols w:equalWidth="0" w:num="1">
            <w:col w:w="11240"/>
          </w:cols>
          <w:pgMar w:left="320" w:top="630" w:right="339" w:bottom="1440" w:gutter="0" w:footer="0" w:header="0"/>
        </w:sectPr>
      </w:pPr>
    </w:p>
    <w:bookmarkStart w:id="117" w:name="page118"/>
    <w:bookmarkEnd w:id="117"/>
    <w:p>
      <w:pPr>
        <w:ind w:left="5760"/>
        <w:spacing w:after="0"/>
        <w:rPr>
          <w:sz w:val="20"/>
          <w:szCs w:val="20"/>
          <w:color w:val="auto"/>
        </w:rPr>
      </w:pPr>
      <w:r>
        <w:rPr>
          <w:rFonts w:ascii="Times New Roman" w:cs="Times New Roman" w:eastAsia="Times New Roman" w:hAnsi="Times New Roman"/>
          <w:sz w:val="18"/>
          <w:szCs w:val="18"/>
          <w:color w:val="010000"/>
        </w:rPr>
        <w:t>ARTICLE II</w:t>
      </w:r>
    </w:p>
    <w:p>
      <w:pPr>
        <w:spacing w:after="0" w:line="235"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2" w:lineRule="exact"/>
        <w:rPr>
          <w:sz w:val="20"/>
          <w:szCs w:val="20"/>
          <w:color w:val="auto"/>
        </w:rPr>
      </w:pPr>
    </w:p>
    <w:p>
      <w:pPr>
        <w:jc w:val="both"/>
        <w:ind w:right="20"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u w:val="single" w:color="auto"/>
          <w:color w:val="000000"/>
        </w:rPr>
        <w:t>Commitments</w:t>
      </w:r>
      <w:r>
        <w:rPr>
          <w:rFonts w:ascii="Times New Roman" w:cs="Times New Roman" w:eastAsia="Times New Roman" w:hAnsi="Times New Roman"/>
          <w:sz w:val="18"/>
          <w:szCs w:val="18"/>
          <w:color w:val="000000"/>
        </w:rPr>
        <w:t>. Subject to the terms and conditions set forth herein, (a) each Revolving Lender (severally and not jointly)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agrees to make Revolving Loans to the Borrowers in Agreed Currencies from time to time during the Revolving Availability Period in an aggregate principal amount that will not result in (A) subject to Sections 2.04 and 2.11(b), the Dollar Amount of such Lender’s Credit Exposure exceeding such Lender’s Commitment or (B) subject to Sections 2.04 and 2.11(b), the sum of the Dollar Amount of the total Revolving Credit Exposures exceeding the aggregate Revolving Commitments and (b) each Delayed Draw Term Lender severally, and not jointly, agrees to make one Delayed Draw Term Loan to the Borrowers in Dollars at any time on and after the Effective Date, and until the earlier of the Delayed Draw Commitment Termination Date and the termination of the Delayed Draw Term Loan Commitment of such Delayed Draw Term Lender in accordance with the terms hereof. Within the foregoing limits and subject to the terms and conditions set forth herein, the Borrowers may borrow, prepay and reborrow Revolving Loans. Amounts repaid or prepaid in respect of the Delayed Draw Term Loans may not be reborrowed.</w:t>
      </w:r>
    </w:p>
    <w:p>
      <w:pPr>
        <w:spacing w:after="0" w:line="200"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2.02. </w:t>
      </w:r>
      <w:r>
        <w:rPr>
          <w:rFonts w:ascii="Times New Roman" w:cs="Times New Roman" w:eastAsia="Times New Roman" w:hAnsi="Times New Roman"/>
          <w:sz w:val="18"/>
          <w:szCs w:val="18"/>
          <w:u w:val="single" w:color="auto"/>
          <w:color w:val="000000"/>
        </w:rPr>
        <w:t>Loans and Borrowings</w:t>
      </w:r>
      <w:r>
        <w:rPr>
          <w:rFonts w:ascii="Times New Roman" w:cs="Times New Roman" w:eastAsia="Times New Roman" w:hAnsi="Times New Roman"/>
          <w:sz w:val="18"/>
          <w:szCs w:val="18"/>
          <w:color w:val="000000"/>
        </w:rPr>
        <w:t>. (a) Each Loan (other than a Swingline Loan) shall be made as part of a Borrowing consisting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Loans of the same Class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w:t>
      </w:r>
    </w:p>
    <w:p>
      <w:pPr>
        <w:spacing w:after="0" w:line="197" w:lineRule="exact"/>
        <w:rPr>
          <w:sz w:val="20"/>
          <w:szCs w:val="20"/>
          <w:color w:val="auto"/>
        </w:rPr>
      </w:pPr>
    </w:p>
    <w:p>
      <w:pPr>
        <w:jc w:val="both"/>
        <w:ind w:right="20" w:firstLine="1176"/>
        <w:spacing w:after="0" w:line="256" w:lineRule="auto"/>
        <w:tabs>
          <w:tab w:leader="none" w:pos="1756"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Section 2.14, each Revolving Borrowing and Delayed Draw Term Loan Borrowing shall be comprised entirely of ABR Loans, Term SOFR Loans or Alternative Currency Loans as the relevant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relevant Borrower to repay such Loan in accordance with the terms of this Agreement.</w:t>
      </w:r>
    </w:p>
    <w:p>
      <w:pPr>
        <w:spacing w:after="0" w:line="184"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758"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commencement of each Interest Period for any Term SOFR Borrowing or any Alternative Currency Term Rate Borrowing, such Borrowing shall be in an aggregate amount that is an integral multiple of $100,000 (or, if such Borrowing is denominated in (i) Japanese Yen, JPY10,000,000 or (ii) a Foreign Currency other than Japanese Yen, 100,000 units of such currency) and not less than $1,000,000 (or, if such Borrowing is denominated in (i) Japanese Yen, JPY100,000,000 or (ii) a Foreign Currency other than Japanese Yen, 1,000,000 units of such currency). At the time that each ABR Borrowing is made, such Borrowing shall be in an aggregate amount that is an integral multiple of $100,000 and not less than $500,000;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Revolving Commitments or that is required to finance the reimbursement of an LC Disbursement as contemplated by Section 2.06(e). Each Swingline Loan shall be in an amount that is an integral multiple of $500,000 and not less than $500,000.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fifteen (15) Term SOFR Borrowings and Alternative Currency Term Rate Borrowings outstanding.</w:t>
      </w:r>
    </w:p>
    <w:p>
      <w:pPr>
        <w:spacing w:after="0" w:line="189" w:lineRule="exact"/>
        <w:rPr>
          <w:rFonts w:ascii="Times New Roman" w:cs="Times New Roman" w:eastAsia="Times New Roman" w:hAnsi="Times New Roman"/>
          <w:sz w:val="18"/>
          <w:szCs w:val="18"/>
          <w:color w:val="010000"/>
        </w:rPr>
      </w:pPr>
    </w:p>
    <w:p>
      <w:pPr>
        <w:ind w:right="20" w:firstLine="1176"/>
        <w:spacing w:after="0" w:line="287" w:lineRule="auto"/>
        <w:tabs>
          <w:tab w:leader="none" w:pos="1756"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with respect thereto would end after the applicable Maturity Date.</w:t>
      </w:r>
    </w:p>
    <w:p>
      <w:pPr>
        <w:sectPr>
          <w:pgSz w:w="11900" w:h="16838" w:orient="portrait"/>
          <w:cols w:equalWidth="0" w:num="1">
            <w:col w:w="11260"/>
          </w:cols>
          <w:pgMar w:left="320" w:top="634" w:right="319" w:bottom="1440" w:gutter="0" w:footer="0" w:header="0"/>
        </w:sectPr>
      </w:pPr>
    </w:p>
    <w:bookmarkStart w:id="118" w:name="page119"/>
    <w:bookmarkEnd w:id="118"/>
    <w:p>
      <w:pPr>
        <w:jc w:val="both"/>
        <w:ind w:left="2" w:right="20" w:firstLine="1176"/>
        <w:spacing w:after="0" w:line="260" w:lineRule="auto"/>
        <w:tabs>
          <w:tab w:leader="none" w:pos="1760"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Alternative Currency Daily Rate or Daily Simple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jc w:val="both"/>
        <w:ind w:left="2" w:firstLine="1178"/>
        <w:spacing w:after="0" w:line="255" w:lineRule="auto"/>
        <w:rPr>
          <w:sz w:val="20"/>
          <w:szCs w:val="20"/>
          <w:color w:val="auto"/>
        </w:rPr>
      </w:pPr>
      <w:r>
        <w:rPr>
          <w:rFonts w:ascii="Times New Roman" w:cs="Times New Roman" w:eastAsia="Times New Roman" w:hAnsi="Times New Roman"/>
          <w:sz w:val="18"/>
          <w:szCs w:val="18"/>
          <w:color w:val="010000"/>
        </w:rPr>
        <w:t xml:space="preserve">SECTION 2.03. </w:t>
      </w:r>
      <w:r>
        <w:rPr>
          <w:rFonts w:ascii="Times New Roman" w:cs="Times New Roman" w:eastAsia="Times New Roman" w:hAnsi="Times New Roman"/>
          <w:sz w:val="18"/>
          <w:szCs w:val="18"/>
          <w:u w:val="single" w:color="auto"/>
          <w:color w:val="000000"/>
        </w:rPr>
        <w:t>Requests for Borrowings</w:t>
      </w:r>
      <w:r>
        <w:rPr>
          <w:rFonts w:ascii="Times New Roman" w:cs="Times New Roman" w:eastAsia="Times New Roman" w:hAnsi="Times New Roman"/>
          <w:sz w:val="18"/>
          <w:szCs w:val="18"/>
          <w:color w:val="000000"/>
        </w:rPr>
        <w:t>. To request a Borrowing, the applicable Borrower, or the Company on behalf of the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Borrower, shall notify the Administrative Agent of such request (a) by irrevocable written notice (via a written Borrowing Request in a form approved by the Administrative Agent (including any form on an electric platform or electronic transmission system as shall be approved by the Administrative Agent) and signed by the applicable Borrower, or the Company on behalf of the applicable Borrower, promptly followed by telephonic confirmation of such request) in the case of a Term SOFR Borrowing, not later than 12:00 noon, Local Time, two (2) Business Days before the date of the proposed Borrowing,</w:t>
      </w:r>
    </w:p>
    <w:p>
      <w:pPr>
        <w:jc w:val="both"/>
        <w:ind w:left="2" w:right="20" w:hanging="2"/>
        <w:spacing w:after="0" w:line="252" w:lineRule="auto"/>
        <w:tabs>
          <w:tab w:leader="none" w:pos="2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irrevocable written notice (via a written Borrowing Request in a form approved by the Administrative Agent (including any form on an electric platform or electronic transmission system as shall be approved by the Administrative Agent) and signed by such Borrower, or the Company on behalf of the applicable Borrower, promptly followed by telephonic confirmation of such request) not later than four (4) Business Days before the date of the proposed Borrowing in the case of an Alternative Currency Loan or (c) by telephone in the case of an ABR Borrowing, not later than 12:00 noon, New York City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Section 2.06(e) may be given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(including any form on an electric platform or electronic transmission system as shall be approved by the Administrative Agent) and signed by the applicable Borrower, or the Company on behalf of the applicable Borrower. Each such Borrowing Request shall specify the following information in compliance with Section 2.02:</w:t>
      </w:r>
    </w:p>
    <w:p>
      <w:pPr>
        <w:spacing w:after="0" w:line="187" w:lineRule="exact"/>
        <w:rPr>
          <w:rFonts w:ascii="Times New Roman" w:cs="Times New Roman" w:eastAsia="Times New Roman" w:hAnsi="Times New Roman"/>
          <w:sz w:val="18"/>
          <w:szCs w:val="18"/>
          <w:color w:val="auto"/>
        </w:rPr>
      </w:pPr>
    </w:p>
    <w:p>
      <w:pPr>
        <w:ind w:left="2362" w:hanging="595"/>
        <w:spacing w:after="0"/>
        <w:tabs>
          <w:tab w:leader="none" w:pos="2362" w:val="left"/>
        </w:tabs>
        <w:numPr>
          <w:ilvl w:val="2"/>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 of the applicable Borrower;</w:t>
      </w:r>
    </w:p>
    <w:p>
      <w:pPr>
        <w:spacing w:after="0" w:line="234" w:lineRule="exact"/>
        <w:rPr>
          <w:rFonts w:ascii="Times New Roman" w:cs="Times New Roman" w:eastAsia="Times New Roman" w:hAnsi="Times New Roman"/>
          <w:sz w:val="18"/>
          <w:szCs w:val="18"/>
          <w:color w:val="010000"/>
        </w:rPr>
      </w:pPr>
    </w:p>
    <w:p>
      <w:pPr>
        <w:ind w:left="2362" w:hanging="595"/>
        <w:spacing w:after="0"/>
        <w:tabs>
          <w:tab w:leader="none" w:pos="2362" w:val="left"/>
        </w:tabs>
        <w:numPr>
          <w:ilvl w:val="2"/>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amount of the requested Borrowing;</w:t>
      </w:r>
    </w:p>
    <w:p>
      <w:pPr>
        <w:spacing w:after="0" w:line="222" w:lineRule="exact"/>
        <w:rPr>
          <w:rFonts w:ascii="Times New Roman" w:cs="Times New Roman" w:eastAsia="Times New Roman" w:hAnsi="Times New Roman"/>
          <w:sz w:val="18"/>
          <w:szCs w:val="18"/>
          <w:color w:val="010000"/>
        </w:rPr>
      </w:pPr>
    </w:p>
    <w:p>
      <w:pPr>
        <w:ind w:left="2362" w:hanging="595"/>
        <w:spacing w:after="0"/>
        <w:tabs>
          <w:tab w:leader="none" w:pos="2362" w:val="left"/>
        </w:tabs>
        <w:numPr>
          <w:ilvl w:val="2"/>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of such Borrowing, which shall be a Business Day;</w:t>
      </w:r>
    </w:p>
    <w:p>
      <w:pPr>
        <w:spacing w:after="0" w:line="234" w:lineRule="exact"/>
        <w:rPr>
          <w:rFonts w:ascii="Times New Roman" w:cs="Times New Roman" w:eastAsia="Times New Roman" w:hAnsi="Times New Roman"/>
          <w:sz w:val="18"/>
          <w:szCs w:val="18"/>
          <w:color w:val="010000"/>
        </w:rPr>
      </w:pPr>
    </w:p>
    <w:p>
      <w:pPr>
        <w:jc w:val="both"/>
        <w:ind w:left="2" w:right="20" w:firstLine="1176"/>
        <w:spacing w:after="0" w:line="264" w:lineRule="auto"/>
        <w:tabs>
          <w:tab w:leader="none" w:pos="1758"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Borrowing denominated in Dollars, whether such Borrowing is to be an ABR Borrowing or a Term SOFR Borrowing (and if a Term SOFR Borrowing, specifying the initial Interest Period applicable thereto) and whether such Borrowing is a Revolving Borrowing or a Delayed Draw Term Loan Borrowing;</w:t>
      </w:r>
    </w:p>
    <w:p>
      <w:pPr>
        <w:spacing w:after="0" w:line="188" w:lineRule="exact"/>
        <w:rPr>
          <w:rFonts w:ascii="Times New Roman" w:cs="Times New Roman" w:eastAsia="Times New Roman" w:hAnsi="Times New Roman"/>
          <w:sz w:val="18"/>
          <w:szCs w:val="18"/>
          <w:color w:val="010000"/>
        </w:rPr>
      </w:pPr>
    </w:p>
    <w:p>
      <w:pPr>
        <w:ind w:left="2" w:right="20" w:firstLine="1176"/>
        <w:spacing w:after="0" w:line="273" w:lineRule="auto"/>
        <w:tabs>
          <w:tab w:leader="none" w:pos="1757"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an Alternative Currency Loan, the Agreed Currency and initial Interest Period to be applicable thereto, which shall be a period contemplated by the definition of the term “Interest Period”; and</w:t>
      </w:r>
    </w:p>
    <w:p>
      <w:pPr>
        <w:spacing w:after="0" w:line="179" w:lineRule="exact"/>
        <w:rPr>
          <w:rFonts w:ascii="Times New Roman" w:cs="Times New Roman" w:eastAsia="Times New Roman" w:hAnsi="Times New Roman"/>
          <w:sz w:val="18"/>
          <w:szCs w:val="18"/>
          <w:color w:val="010000"/>
        </w:rPr>
      </w:pPr>
    </w:p>
    <w:p>
      <w:pPr>
        <w:ind w:left="2" w:right="20" w:firstLine="1176"/>
        <w:spacing w:after="0" w:line="273" w:lineRule="auto"/>
        <w:tabs>
          <w:tab w:leader="none" w:pos="1758"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location and number of the applicable Borrower’s account to which funds are to be disbursed, which shall comply with the requirements of Section 2.07.</w:t>
      </w:r>
    </w:p>
    <w:p>
      <w:pPr>
        <w:spacing w:after="0" w:line="179" w:lineRule="exact"/>
        <w:rPr>
          <w:sz w:val="20"/>
          <w:szCs w:val="20"/>
          <w:color w:val="auto"/>
        </w:rPr>
      </w:pPr>
    </w:p>
    <w:p>
      <w:pPr>
        <w:jc w:val="both"/>
        <w:ind w:left="2" w:right="20" w:firstLine="1178"/>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in the case of a Borrowing denominated in Dollars, the requested Borrowing shall be an ABR Borrowing. If no Interest Period is specified with respect to any requested Term SOFR Borrowing or Alternative Currency Term Rate Borrowing, then the relevant Borrower shall be deemed to have selected an Interest Period of one month’s duration. Promptly following receipt of a Borrowing Request in accordance with this Section, the</w:t>
      </w:r>
    </w:p>
    <w:p>
      <w:pPr>
        <w:sectPr>
          <w:pgSz w:w="11900" w:h="16838" w:orient="portrait"/>
          <w:cols w:equalWidth="0" w:num="1">
            <w:col w:w="11262"/>
          </w:cols>
          <w:pgMar w:left="318" w:top="634" w:right="319" w:bottom="1440" w:gutter="0" w:footer="0" w:header="0"/>
        </w:sectPr>
      </w:pPr>
    </w:p>
    <w:bookmarkStart w:id="119" w:name="page120"/>
    <w:bookmarkEnd w:id="119"/>
    <w:p>
      <w:pPr>
        <w:spacing w:after="0" w:line="287" w:lineRule="auto"/>
        <w:rPr>
          <w:sz w:val="20"/>
          <w:szCs w:val="20"/>
          <w:color w:val="auto"/>
        </w:rPr>
      </w:pPr>
      <w:r>
        <w:rPr>
          <w:rFonts w:ascii="Times New Roman" w:cs="Times New Roman" w:eastAsia="Times New Roman" w:hAnsi="Times New Roman"/>
          <w:sz w:val="18"/>
          <w:szCs w:val="18"/>
          <w:color w:val="auto"/>
        </w:rPr>
        <w:t>Administrative Agent shall advise each Lender of the details thereof and of the amount of such Lender’s Loan to be made as part of the requested Borrowing.</w:t>
      </w:r>
    </w:p>
    <w:p>
      <w:pPr>
        <w:spacing w:after="0" w:line="155"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2.04.</w:t>
      </w:r>
      <w:r>
        <w:rPr>
          <w:sz w:val="20"/>
          <w:szCs w:val="20"/>
          <w:color w:val="auto"/>
        </w:rPr>
        <w:tab/>
      </w:r>
      <w:r>
        <w:rPr>
          <w:rFonts w:ascii="Times New Roman" w:cs="Times New Roman" w:eastAsia="Times New Roman" w:hAnsi="Times New Roman"/>
          <w:sz w:val="17"/>
          <w:szCs w:val="17"/>
          <w:u w:val="single" w:color="auto"/>
          <w:color w:val="auto"/>
        </w:rPr>
        <w:t>Determination of Dollar Amounts</w:t>
      </w:r>
      <w:r>
        <w:rPr>
          <w:rFonts w:ascii="Times New Roman" w:cs="Times New Roman" w:eastAsia="Times New Roman" w:hAnsi="Times New Roman"/>
          <w:sz w:val="17"/>
          <w:szCs w:val="17"/>
          <w:color w:val="auto"/>
        </w:rPr>
        <w:t>. The Administrative Agent will determine the Dollar Amount of:</w:t>
      </w:r>
    </w:p>
    <w:p>
      <w:pPr>
        <w:spacing w:after="0" w:line="235" w:lineRule="exact"/>
        <w:rPr>
          <w:sz w:val="20"/>
          <w:szCs w:val="20"/>
          <w:color w:val="auto"/>
        </w:rPr>
      </w:pPr>
    </w:p>
    <w:p>
      <w:pPr>
        <w:ind w:firstLine="1176"/>
        <w:spacing w:after="0" w:line="287" w:lineRule="auto"/>
        <w:tabs>
          <w:tab w:leader="none" w:pos="1758"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Alternative Currency Loan as of the date two (2) Business Days prior to the date of such Borrowing or, if applicable, the date of conversion/continuation of any Borrowing as an Alternative Currency Loan,</w:t>
      </w:r>
    </w:p>
    <w:p>
      <w:pPr>
        <w:spacing w:after="0" w:line="155"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6"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LC Exposure (i) as of the date of each request for the issuance, amendment, renewal or extension of any Letter of Credit, (ii) in the case of all Existing Letters of Credit denominated in Foreign Currencies, the Effective Date, and (iii) such additional dates as the Administrative Agent or the Issuing Banks shall determine or the Required Lenders shall require; and</w:t>
      </w:r>
    </w:p>
    <w:p>
      <w:pPr>
        <w:spacing w:after="0" w:line="188" w:lineRule="exact"/>
        <w:rPr>
          <w:rFonts w:ascii="Times New Roman" w:cs="Times New Roman" w:eastAsia="Times New Roman" w:hAnsi="Times New Roman"/>
          <w:sz w:val="18"/>
          <w:szCs w:val="18"/>
          <w:color w:val="010000"/>
        </w:rPr>
      </w:pPr>
    </w:p>
    <w:p>
      <w:pPr>
        <w:ind w:firstLine="1176"/>
        <w:spacing w:after="0" w:line="287" w:lineRule="auto"/>
        <w:tabs>
          <w:tab w:leader="none" w:pos="1758"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spacing w:after="0" w:line="15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Each day upon or as of which the Administrative Agent determines Dollar Amounts as described in the preceding clauses (a), (b) and (c) is herein described as a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with respect to each Credit Event for which a Dollar Amount is determined on or as of such day.</w:t>
      </w:r>
    </w:p>
    <w:p>
      <w:pPr>
        <w:spacing w:after="0" w:line="155"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010000"/>
        </w:rPr>
        <w:t xml:space="preserve">SECTION 2.05. </w:t>
      </w:r>
      <w:r>
        <w:rPr>
          <w:rFonts w:ascii="Times New Roman" w:cs="Times New Roman" w:eastAsia="Times New Roman" w:hAnsi="Times New Roman"/>
          <w:sz w:val="18"/>
          <w:szCs w:val="18"/>
          <w:u w:val="single" w:color="auto"/>
          <w:color w:val="000000"/>
        </w:rPr>
        <w:t>Swingline Loans</w:t>
      </w:r>
      <w:r>
        <w:rPr>
          <w:rFonts w:ascii="Times New Roman" w:cs="Times New Roman" w:eastAsia="Times New Roman" w:hAnsi="Times New Roman"/>
          <w:sz w:val="18"/>
          <w:szCs w:val="18"/>
          <w:color w:val="000000"/>
        </w:rPr>
        <w:t>. (a) Subject to the terms and conditions set forth herein, the Swingline Lender may in its sole discretion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make Swingline Loans in Dollars to the Company from time to time during the Revolving Availability Period, in an aggregate principal amount at any time outstanding that will not result in (i) the aggregate principal amount of outstanding Swingline Loans exceeding $50,000,000 or (ii) the Dollar</w:t>
      </w:r>
    </w:p>
    <w:p>
      <w:pPr>
        <w:spacing w:after="0" w:line="391"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 xml:space="preserve">Amount of the total Revolving Credit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88" w:lineRule="exact"/>
        <w:rPr>
          <w:sz w:val="20"/>
          <w:szCs w:val="20"/>
          <w:color w:val="auto"/>
        </w:rPr>
      </w:pPr>
    </w:p>
    <w:p>
      <w:pPr>
        <w:jc w:val="both"/>
        <w:ind w:firstLine="1176"/>
        <w:spacing w:after="0" w:line="254" w:lineRule="auto"/>
        <w:tabs>
          <w:tab w:leader="none" w:pos="1756"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request a Swingline Loan, the Company shall notify the Administrative Agent of such request by telephone (confirmed by telecopy or a transmission via an electronic platform or electronic transmission system as shall be approved by the Administrative Agent), not later than 12:00 noon, New York City time, on the day of a proposed Swingline Loan (such notice, “</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Each Swingline Loan Notice shall be irrevocable and shall specify the requested date (which shall be a Business Day) and amount of the requested Swingline Loan. The Administrative Agent will promptly advise the Swingline Lender of any Swingline Loan Notice received from the Company. The Swingline Lender shall make each Swingline Loan available to the Company by means of a credit to the general deposit account of the Company with the Swingline Lender (or, in the case of a Swingline Loan made to finance the reimbursement of an LC Disbursement as provided in Section 2.06(e), by remittance to the relevant Issuing Bank) by 3:00 p.m., New York City time, on the requested date of such Swingline Loan. As provided for in Section 2.12(a), Swingline Loans shall only be available as ABR Loans.</w:t>
      </w:r>
    </w:p>
    <w:p>
      <w:pPr>
        <w:spacing w:after="0" w:line="188" w:lineRule="exact"/>
        <w:rPr>
          <w:rFonts w:ascii="Times New Roman" w:cs="Times New Roman" w:eastAsia="Times New Roman" w:hAnsi="Times New Roman"/>
          <w:sz w:val="18"/>
          <w:szCs w:val="18"/>
          <w:color w:val="010000"/>
        </w:rPr>
      </w:pPr>
    </w:p>
    <w:p>
      <w:pPr>
        <w:jc w:val="both"/>
        <w:ind w:firstLine="1176"/>
        <w:spacing w:after="0" w:line="260" w:lineRule="auto"/>
        <w:tabs>
          <w:tab w:leader="none" w:pos="1758"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w:t>
      </w:r>
    </w:p>
    <w:p>
      <w:pPr>
        <w:sectPr>
          <w:pgSz w:w="11900" w:h="16838" w:orient="portrait"/>
          <w:cols w:equalWidth="0" w:num="1">
            <w:col w:w="11240"/>
          </w:cols>
          <w:pgMar w:left="320" w:top="634" w:right="339" w:bottom="1440" w:gutter="0" w:footer="0" w:header="0"/>
        </w:sectPr>
      </w:pPr>
    </w:p>
    <w:bookmarkStart w:id="120" w:name="page121"/>
    <w:bookmarkEnd w:id="120"/>
    <w:p>
      <w:pPr>
        <w:jc w:val="both"/>
        <w:spacing w:after="0" w:line="253" w:lineRule="auto"/>
        <w:rPr>
          <w:sz w:val="20"/>
          <w:szCs w:val="20"/>
          <w:color w:val="auto"/>
        </w:rPr>
      </w:pPr>
      <w:r>
        <w:rPr>
          <w:rFonts w:ascii="Times New Roman" w:cs="Times New Roman" w:eastAsia="Times New Roman" w:hAnsi="Times New Roman"/>
          <w:sz w:val="18"/>
          <w:szCs w:val="18"/>
          <w:color w:val="auto"/>
        </w:rPr>
        <w:t>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Lenders), and the Administrative Agent shall promptly pay to the Swingline Lender the amounts so received by it from the Revolving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18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2.06. </w:t>
      </w:r>
      <w:r>
        <w:rPr>
          <w:rFonts w:ascii="Times New Roman" w:cs="Times New Roman" w:eastAsia="Times New Roman" w:hAnsi="Times New Roman"/>
          <w:sz w:val="18"/>
          <w:szCs w:val="18"/>
          <w:u w:val="single" w:color="auto"/>
          <w:color w:val="000000"/>
        </w:rPr>
        <w:t>Letters of Credit</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Subject to the terms and conditions set forth herein, any Borrower may request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issuance of Letters of Credit in the form of Commercial Letters of Credit or Standby Letters of Credit denominated in Agreed Currencies for its own account or for the account of any of its Subsidiaries, in a form reasonably acceptable to the relevant Issuing Bank, at any time and from time to time during the Revolving Availability Period; it being understood that every Letter of Credit issued hereunder shall be an Obligation of a Borrower. In the event of any inconsistency between the terms and conditions of this Agreement and the terms and conditions of any form of letter of credit application or other agreement submitted by any Borrower to, or entered into by any Borrower with, the relevant Issuing Bank relating to any Letter of Credit, the terms and conditions of this Agreement shall control.</w:t>
      </w:r>
    </w:p>
    <w:p>
      <w:pPr>
        <w:spacing w:after="0" w:line="185" w:lineRule="exact"/>
        <w:rPr>
          <w:sz w:val="20"/>
          <w:szCs w:val="20"/>
          <w:color w:val="auto"/>
        </w:rPr>
      </w:pPr>
    </w:p>
    <w:p>
      <w:pPr>
        <w:jc w:val="both"/>
        <w:ind w:firstLine="1176"/>
        <w:spacing w:after="0" w:line="252" w:lineRule="auto"/>
        <w:tabs>
          <w:tab w:leader="none" w:pos="1756"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applicable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subject to Sections 2.04 and 2.11(b), the Dollar Amount of the LC Exposure solely in respect of Standby Letters of Credit shall not exceed $125,000,000, (ii) subject to Sections</w:t>
      </w:r>
    </w:p>
    <w:p>
      <w:pPr>
        <w:ind w:left="11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2.04 and 2.11(b), the sum of the Dollar Amount of the total Revolving Credit Exposures shall not</w:t>
      </w:r>
    </w:p>
    <w:p>
      <w:pPr>
        <w:spacing w:after="0" w:line="7" w:lineRule="exact"/>
        <w:rPr>
          <w:rFonts w:ascii="Times New Roman" w:cs="Times New Roman" w:eastAsia="Times New Roman" w:hAnsi="Times New Roman"/>
          <w:sz w:val="18"/>
          <w:szCs w:val="18"/>
          <w:color w:val="010000"/>
        </w:rPr>
      </w:pPr>
    </w:p>
    <w:p>
      <w:pPr>
        <w:ind w:firstLine="1178"/>
        <w:spacing w:after="0" w:line="272"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exceed the aggregate Revolving Commitments and (iii) subject to Sections 2.04 and 2.11(b), the Dollar Amount of each Lender’s Credit Exposure shall not exceed such Lender’s Commitment. No</w:t>
      </w:r>
    </w:p>
    <w:p>
      <w:pPr>
        <w:sectPr>
          <w:pgSz w:w="11900" w:h="16838" w:orient="portrait"/>
          <w:cols w:equalWidth="0" w:num="1">
            <w:col w:w="11240"/>
          </w:cols>
          <w:pgMar w:left="320" w:top="634"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color w:val="auto"/>
        </w:rPr>
        <w:t>Issuing Bank shall be under any obligation to issue any Letter of Credit if (i)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 (ii) the issuance of the Letter of Credit would violate one or more policies of such Issuing Bank applicable to letters of credit generally or (iii) the issuance of such Letter of Credit would cause the aggregate Dollar Amount of all Letters of Credit issued by it to exceed such Issuing Bank’s Letter of Credit Sublimit.</w:t>
      </w:r>
    </w:p>
    <w:p>
      <w:pPr>
        <w:spacing w:after="0" w:line="200" w:lineRule="exact"/>
        <w:rPr>
          <w:sz w:val="20"/>
          <w:szCs w:val="20"/>
          <w:color w:val="auto"/>
        </w:rPr>
      </w:pPr>
    </w:p>
    <w:p>
      <w:pPr>
        <w:jc w:val="both"/>
        <w:ind w:right="20" w:firstLine="1176"/>
        <w:spacing w:after="0" w:line="254" w:lineRule="auto"/>
        <w:tabs>
          <w:tab w:leader="none" w:pos="1758"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Revolving Credit Maturity Date. For the avoidance of doubt, if the Revolving Credit Maturity Date shall be extended pursuant to Section 2.25, “Revolving Credit Maturity Date” as referenced in this clause (c) shall refer to the Revolving Credit Maturity Date as extended pursuant to Section 2.25; provided that, notwithstanding anything in this Agreement (including Section 2.25 hereof) or any other Loan Document to the contrary, the Revolving Credit Maturity Date, as such term is used in reference to any Issuing Bank or any Letter of Credit issued thereby, may not be extended without the prior written consent of the relevant Issuing Bank.</w:t>
      </w:r>
    </w:p>
    <w:p>
      <w:pPr>
        <w:spacing w:after="0" w:line="186" w:lineRule="exact"/>
        <w:rPr>
          <w:rFonts w:ascii="Times New Roman" w:cs="Times New Roman" w:eastAsia="Times New Roman" w:hAnsi="Times New Roman"/>
          <w:sz w:val="18"/>
          <w:szCs w:val="18"/>
          <w:color w:val="010000"/>
        </w:rPr>
      </w:pPr>
    </w:p>
    <w:p>
      <w:pPr>
        <w:jc w:val="both"/>
        <w:ind w:right="20" w:firstLine="1176"/>
        <w:spacing w:after="0" w:line="253" w:lineRule="auto"/>
        <w:tabs>
          <w:tab w:leader="none" w:pos="1756"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the relevant Issuing Bank or the Revolving Lenders, the relevant Issuing Bank hereby grants to each Revolving Lender, and each Revolving Lender hereby acquires from the relevant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relevant Issuing Bank, such Revolving Lender’s Applicable Percentage of each LC Disbursement made by such Issuing Bank and not reimbursed by the applicable Borrower on the date due as provided in paragraph (e) of this Section, or of any reimbursement payment required to be refunded to any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201" w:lineRule="exact"/>
        <w:rPr>
          <w:rFonts w:ascii="Times New Roman" w:cs="Times New Roman" w:eastAsia="Times New Roman" w:hAnsi="Times New Roman"/>
          <w:sz w:val="18"/>
          <w:szCs w:val="18"/>
          <w:color w:val="010000"/>
        </w:rPr>
      </w:pPr>
    </w:p>
    <w:p>
      <w:pPr>
        <w:jc w:val="both"/>
        <w:ind w:right="20" w:firstLine="1176"/>
        <w:spacing w:after="0" w:line="254" w:lineRule="auto"/>
        <w:tabs>
          <w:tab w:leader="none" w:pos="1758"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If the relevant Issuing Bank shall make any LC Disbursement in respect of a Letter of Credit, the applicable Borrower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applicable Borrower, in such other Agreed Currency which was paid by such Issuing Bank pursuant to such LC Disbursement in an amount equal to such LC Disbursement) not later than 12:00 noon, Local Time, on the date that such LC Disbursement is made, if the applicable Borrower shall have received notice of such LC Disbursement prior to 10:00 a.m., Local Time, on such date, or, if such notice has not been received by such Borrower prior to such time on such date, then not later than 12:00 noon, Local Time, on the Business Day immediately following the day that such Borrower receives such notice, if such notice is not received prior to such time on the day of receipt; provided that, if such LC Disbursement is not less than the Dollar Amount of $500,000, such Borrower may, subject to the conditions to borrowing set forth herein, request in accordance with Section 2.03 or 2.05 that such payment be financed</w:t>
      </w:r>
    </w:p>
    <w:p>
      <w:pPr>
        <w:sectPr>
          <w:pgSz w:w="11900" w:h="16838" w:orient="portrait"/>
          <w:cols w:equalWidth="0" w:num="1">
            <w:col w:w="11260"/>
          </w:cols>
          <w:pgMar w:left="320" w:top="634" w:right="319" w:bottom="1440" w:gutter="0" w:footer="0" w:header="0"/>
        </w:sectPr>
      </w:pPr>
    </w:p>
    <w:bookmarkStart w:id="122" w:name="page123"/>
    <w:bookmarkEnd w:id="122"/>
    <w:p>
      <w:pPr>
        <w:jc w:val="both"/>
        <w:spacing w:after="0" w:line="251" w:lineRule="auto"/>
        <w:rPr>
          <w:sz w:val="20"/>
          <w:szCs w:val="20"/>
          <w:color w:val="auto"/>
        </w:rPr>
      </w:pPr>
      <w:r>
        <w:rPr>
          <w:rFonts w:ascii="Times New Roman" w:cs="Times New Roman" w:eastAsia="Times New Roman" w:hAnsi="Times New Roman"/>
          <w:sz w:val="18"/>
          <w:szCs w:val="18"/>
          <w:color w:val="auto"/>
        </w:rPr>
        <w:t>with (i) to the extent such LC Disbursement was made in Dollars, an ABR Revolving Borrowing or Swingline Loan in Dollars in an amount equal to such LC Disbursement or (ii) to the extent such LC Disbursement was made in a Foreign Currency, an Alternative Currency Loan in such Foreign Currency in an amount equal to such LC Disbursement and, in each case, to the extent so financed, such Borrower’s obligation to make such payment shall be discharged and replaced by the resulting ABR Revolving Borrowing, Alternative Currency Loan or Swingline Loan, as applicable. If any Borrower fails to make such payment when due, the Administrative Agent shall notify each Revolving Lender of the applicable LC Disbursement, the payment then due from such Borrower in respect thereof and such Revolving Lender’s Applicable Percentage thereof. Promptly following receipt of such notice, each Revolving Lender shall pay to the Administrative Agent its Applicable Percentage of the payment then due from the applicable Borrower, in the same manner as provided in Section 2.07 with respect to Loans made by such Lender (and Section 2.07 shall apply, mutatis mutandis, to the payment obligations of the Revolving Lenders), and the Administrative Agent shall promptly pay to the relevant Issuing Bank the amounts so received by it from the Revolving Lenders. Promptly following receipt by the Administrative Agent of any payment from any Borrower pursuant to this paragraph, the Administrative Agent shall distribute such payment to such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the relevant Issuing Bank for any LC Disbursement (other than the funding of Revolving Loans or a Swingline Loan as contemplated above) shall not constitute a Loan and shall not relieve the applicable Borrower of its obligation to reimburse such LC Disbursement. If any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such Borrower shall, at its option, either (x) pay the amount of any such tax requested by the Administrative Agent, the relevant Issuing Bank or the relevant Revolving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1" w:lineRule="exact"/>
        <w:rPr>
          <w:sz w:val="20"/>
          <w:szCs w:val="20"/>
          <w:color w:val="auto"/>
        </w:rPr>
      </w:pPr>
    </w:p>
    <w:p>
      <w:pPr>
        <w:jc w:val="both"/>
        <w:ind w:right="20" w:firstLine="1176"/>
        <w:spacing w:after="0" w:line="251" w:lineRule="auto"/>
        <w:tabs>
          <w:tab w:leader="none" w:pos="1762"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any Borrower’s obligations hereunder.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provided that the foregoing shall not be construed to excuse the relevant Issuing Bank from liability to a Borrower to the extent of any direct damages (as opposed to special, indirect, consequential or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w:t>
      </w:r>
    </w:p>
    <w:p>
      <w:pPr>
        <w:sectPr>
          <w:pgSz w:w="11900" w:h="16838" w:orient="portrait"/>
          <w:cols w:equalWidth="0" w:num="1">
            <w:col w:w="11260"/>
          </w:cols>
          <w:pgMar w:left="320" w:top="634" w:right="31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8"/>
          <w:szCs w:val="18"/>
          <w:color w:val="auto"/>
        </w:rPr>
        <w:t>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jc w:val="both"/>
        <w:ind w:firstLine="1176"/>
        <w:spacing w:after="0" w:line="256" w:lineRule="auto"/>
        <w:tabs>
          <w:tab w:leader="none" w:pos="1756"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an LC Disbursement thereunder; provided that any failure to give or delay in giving such notice shall not relieve such Borrower of its obligation to reimburse such Issuing Bank and the Revolving Lenders with respect to any such LC Disbursement.</w:t>
      </w:r>
    </w:p>
    <w:p>
      <w:pPr>
        <w:spacing w:after="0" w:line="196"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756"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If any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ABR Revolving Loans (or in the case such LC Disbursement is denominated in a Foreign Currency, at the Overnight Foreign Currency Rate for such Agreed Currency plus the then effective Applicable Rate with respect to Alternative Currency Loans); provided that, if such Borrower fails to reimburse such LC Disbursement when due pursuant to paragraph (e) of this Section, then Section 2.13(c) shall apply. Interest accrued pursuant to this paragraph shall be for the account of the relevant Issuing Bank, except that interest accrued on and after the date of payment by any Revolving Lender pursuant to paragraph (e) of this Section to reimburse such Issuing Bank shall be for the account of such Revolving Lender to the extent of such payment.</w:t>
      </w:r>
    </w:p>
    <w:p>
      <w:pPr>
        <w:spacing w:after="0" w:line="186"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765"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Replacement of any Issuing Bank</w:t>
      </w:r>
      <w:r>
        <w:rPr>
          <w:rFonts w:ascii="Times New Roman" w:cs="Times New Roman" w:eastAsia="Times New Roman" w:hAnsi="Times New Roman"/>
          <w:sz w:val="18"/>
          <w:szCs w:val="18"/>
          <w:color w:val="auto"/>
        </w:rPr>
        <w:t>. Any Issuing Bank may be replaced at any time by written agreement among the applicable Borrower, the Administrative Agent, the replaced Issuing Bank and the successor Issuing Bank. The Administrative Agent shall notify the Revolving Lenders of any such replacement of any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such successor Issuing Bank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200" w:lineRule="exact"/>
        <w:rPr>
          <w:rFonts w:ascii="Times New Roman" w:cs="Times New Roman" w:eastAsia="Times New Roman" w:hAnsi="Times New Roman"/>
          <w:sz w:val="18"/>
          <w:szCs w:val="18"/>
          <w:color w:val="010000"/>
        </w:rPr>
      </w:pPr>
    </w:p>
    <w:p>
      <w:pPr>
        <w:jc w:val="both"/>
        <w:ind w:firstLine="1176"/>
        <w:spacing w:after="0" w:line="253" w:lineRule="auto"/>
        <w:tabs>
          <w:tab w:leader="none" w:pos="1765"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any Borrower receives notice from the Administrative Agent or the Required Revolving Lenders (or, if the maturity of the Loans has been accelerated, Revolving Lenders with LC Exposure representing greater than 50% of the total LC Exposure) demanding the deposit of cash collateral pursuant to this paragraph, such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the Dollar Amount of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portions of such amount attributable to undrawn Foreign Currency Letters of Credit or LC Disbursements in a Foreign Currency that such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For the purposes of this paragraph, the Foreign Currency LC Exposure shall be</w:t>
      </w:r>
    </w:p>
    <w:p>
      <w:pPr>
        <w:sectPr>
          <w:pgSz w:w="11900" w:h="16838" w:orient="portrait"/>
          <w:cols w:equalWidth="0" w:num="1">
            <w:col w:w="11240"/>
          </w:cols>
          <w:pgMar w:left="320" w:top="634" w:right="339" w:bottom="1440" w:gutter="0" w:footer="0" w:header="0"/>
        </w:sectPr>
      </w:pPr>
    </w:p>
    <w:bookmarkStart w:id="124" w:name="page125"/>
    <w:bookmarkEnd w:id="124"/>
    <w:p>
      <w:pPr>
        <w:jc w:val="both"/>
        <w:ind w:left="2" w:right="20"/>
        <w:spacing w:after="0" w:line="252" w:lineRule="auto"/>
        <w:rPr>
          <w:sz w:val="20"/>
          <w:szCs w:val="20"/>
          <w:color w:val="auto"/>
        </w:rPr>
      </w:pPr>
      <w:r>
        <w:rPr>
          <w:rFonts w:ascii="Times New Roman" w:cs="Times New Roman" w:eastAsia="Times New Roman" w:hAnsi="Times New Roman"/>
          <w:sz w:val="18"/>
          <w:szCs w:val="18"/>
          <w:color w:val="auto"/>
        </w:rPr>
        <w:t>calculated using the applicable Exchange Rate on the date notice demanding cash collateralization is delivered to the applicable Borrower. Each Borrower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total LC Exposure), be applied to satisfy other Obligations. If any Borrower is required to provide an amount of cash collateral hereunder as a result of the occurrence of an Event of Default, such amount (to the extent not applied as aforesaid) shall be returned to such Borrower within three (3) Business Days after all Events of Default have been cured or waived.</w:t>
      </w:r>
    </w:p>
    <w:p>
      <w:pPr>
        <w:spacing w:after="0" w:line="1" w:lineRule="exact"/>
        <w:rPr>
          <w:sz w:val="20"/>
          <w:szCs w:val="20"/>
          <w:color w:val="auto"/>
        </w:rPr>
      </w:pPr>
    </w:p>
    <w:p>
      <w:pPr>
        <w:jc w:val="both"/>
        <w:ind w:left="2" w:right="20" w:firstLine="1176"/>
        <w:spacing w:after="0" w:line="250" w:lineRule="auto"/>
        <w:tabs>
          <w:tab w:leader="none" w:pos="1757"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the last Business Day of each calendar month, the daily activity (set forth by day) in respect of Letters of Credit during such calendar month,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w:t>
      </w:r>
    </w:p>
    <w:p>
      <w:pPr>
        <w:spacing w:after="0" w:line="5" w:lineRule="exact"/>
        <w:rPr>
          <w:rFonts w:ascii="Times New Roman" w:cs="Times New Roman" w:eastAsia="Times New Roman" w:hAnsi="Times New Roman"/>
          <w:sz w:val="18"/>
          <w:szCs w:val="18"/>
          <w:color w:val="010000"/>
        </w:rPr>
      </w:pPr>
    </w:p>
    <w:p>
      <w:pPr>
        <w:ind w:left="342" w:hanging="342"/>
        <w:spacing w:after="0"/>
        <w:tabs>
          <w:tab w:leader="none" w:pos="34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on which such Issuing Bank pays any amount in respect of one or more drawings under Letters of Credit, the date of such</w:t>
      </w:r>
    </w:p>
    <w:p>
      <w:pPr>
        <w:spacing w:after="0" w:line="7"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17"/>
          <w:szCs w:val="17"/>
          <w:color w:val="auto"/>
        </w:rPr>
        <w:t>payment(s) and the amount of such payment(s), (iv) on any Business Day on which the Borrowers fail to reimburse any Reimbursement Obligation required to be reimbursed to such Issuing Bank on such day, the date of such failure and the amount and currency of such payment in respect of Letters of Credit and</w:t>
      </w:r>
    </w:p>
    <w:p>
      <w:pPr>
        <w:spacing w:after="0" w:line="1"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color w:val="auto"/>
        </w:rPr>
        <w:t>(v) on any other Business Day, such other information as the Administrative Agent shall reasonably request.</w:t>
      </w:r>
    </w:p>
    <w:p>
      <w:pPr>
        <w:spacing w:after="0" w:line="209" w:lineRule="exact"/>
        <w:rPr>
          <w:sz w:val="20"/>
          <w:szCs w:val="20"/>
          <w:color w:val="auto"/>
        </w:rPr>
      </w:pPr>
    </w:p>
    <w:p>
      <w:pPr>
        <w:ind w:left="1762" w:hanging="584"/>
        <w:spacing w:after="0"/>
        <w:tabs>
          <w:tab w:leader="none" w:pos="1762"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The Existing Letters of Credit shall be deemed to be a Letter of Credit issued hereunder.</w:t>
      </w:r>
    </w:p>
    <w:p>
      <w:pPr>
        <w:spacing w:after="0" w:line="234" w:lineRule="exact"/>
        <w:rPr>
          <w:rFonts w:ascii="Times New Roman" w:cs="Times New Roman" w:eastAsia="Times New Roman" w:hAnsi="Times New Roman"/>
          <w:sz w:val="18"/>
          <w:szCs w:val="18"/>
          <w:color w:val="010000"/>
        </w:rPr>
      </w:pPr>
    </w:p>
    <w:p>
      <w:pPr>
        <w:jc w:val="both"/>
        <w:ind w:left="2" w:right="20" w:firstLine="1176"/>
        <w:spacing w:after="0" w:line="254" w:lineRule="auto"/>
        <w:tabs>
          <w:tab w:leader="none" w:pos="1758"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Applicability of ISP and UCP; Limitation of Liability</w:t>
      </w:r>
      <w:r>
        <w:rPr>
          <w:rFonts w:ascii="Times New Roman" w:cs="Times New Roman" w:eastAsia="Times New Roman" w:hAnsi="Times New Roman"/>
          <w:sz w:val="18"/>
          <w:szCs w:val="18"/>
          <w:color w:val="auto"/>
        </w:rPr>
        <w:t>. Unless otherwise expressly agreed by the applicable Issuing Bank and the Company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Issuing Bank shall be responsible to the Company for, and the Issuing Banks’ rights and remedies against the Company shall not be impaired by, any action or inaction of such Issuing Bank required or permitted under any law, order, or practice that is required or permitted to be applied to any Letter of Credit or this Agreement, including the law or any order of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8" w:lineRule="exact"/>
        <w:rPr>
          <w:sz w:val="20"/>
          <w:szCs w:val="20"/>
          <w:color w:val="auto"/>
        </w:rPr>
      </w:pPr>
    </w:p>
    <w:p>
      <w:pPr>
        <w:ind w:left="2" w:right="20"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2.07. </w:t>
      </w:r>
      <w:r>
        <w:rPr>
          <w:rFonts w:ascii="Times New Roman" w:cs="Times New Roman" w:eastAsia="Times New Roman" w:hAnsi="Times New Roman"/>
          <w:sz w:val="18"/>
          <w:szCs w:val="18"/>
          <w:u w:val="single" w:color="auto"/>
          <w:color w:val="000000"/>
        </w:rPr>
        <w:t>Funding of Borrowings</w:t>
      </w:r>
      <w:r>
        <w:rPr>
          <w:rFonts w:ascii="Times New Roman" w:cs="Times New Roman" w:eastAsia="Times New Roman" w:hAnsi="Times New Roman"/>
          <w:sz w:val="18"/>
          <w:szCs w:val="18"/>
          <w:color w:val="000000"/>
        </w:rPr>
        <w:t>. (a) Each Lender shall make each Loan to be made by it hereunder on the proposed date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wire transfer of immediately available funds (i) in the case of Loans denominated in Dollars, by 1:00 p.m., New York City</w:t>
      </w:r>
    </w:p>
    <w:p>
      <w:pPr>
        <w:sectPr>
          <w:pgSz w:w="11900" w:h="16838" w:orient="portrait"/>
          <w:cols w:equalWidth="0" w:num="1">
            <w:col w:w="11262"/>
          </w:cols>
          <w:pgMar w:left="318" w:top="634" w:right="319" w:bottom="1440" w:gutter="0" w:footer="0" w:header="0"/>
        </w:sectPr>
      </w:pPr>
    </w:p>
    <w:bookmarkStart w:id="125" w:name="page126"/>
    <w:bookmarkEnd w:id="125"/>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 xml:space="preserve">time, to the account of the Administrative Agent most recently designated by it for such purpose by notice to the Lenders and (ii) in the case of each Loan denominated in a Foreign Currency, by 1:00 p.m., Local Time, in the city of the Administrative Agent’s Foreign Currency Payment Office for such currency and at such Foreign Currency Payment Office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Delayed Draw Term Loans shall be made as provided in Section 2.01(b) and (ii) Swingline Loans shall be made as provided in Section 2.05. The Administrative Agent will make such Loans available to the relevant Borrower by promptly crediting the amounts so received, in like funds, to (x) an account of the Company designated by the Company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2.06(e) shall be remitted by the Administrative Agent to the relevant Issuing Bank.</w:t>
      </w:r>
    </w:p>
    <w:p>
      <w:pPr>
        <w:spacing w:after="0" w:line="200" w:lineRule="exact"/>
        <w:rPr>
          <w:sz w:val="20"/>
          <w:szCs w:val="20"/>
          <w:color w:val="auto"/>
        </w:rPr>
      </w:pPr>
    </w:p>
    <w:p>
      <w:pPr>
        <w:jc w:val="both"/>
        <w:ind w:left="2" w:firstLine="1176"/>
        <w:spacing w:after="0" w:line="254" w:lineRule="auto"/>
        <w:tabs>
          <w:tab w:leader="none" w:pos="1434"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Administrative Agent shall have received notice from a Lender prior to the proposed date of any Borrowing (or, in the case of an ABR Borrowing, prior to the proposed time of any Borrowing) that such Lender will not make available to the Administrative Agent such Lender’s share of such Borrowing, the Administrative Agent may assume that such Lender has made such share available on such date in accordance with paragraph</w:t>
      </w:r>
    </w:p>
    <w:p>
      <w:pPr>
        <w:ind w:left="242" w:hanging="242"/>
        <w:spacing w:after="0"/>
        <w:tabs>
          <w:tab w:leader="none" w:pos="2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may, in reliance upon such assumption, make available to the relevant Borrower a corresponding amount. In such event, if a Lender</w:t>
      </w:r>
    </w:p>
    <w:p>
      <w:pPr>
        <w:spacing w:after="0" w:line="7"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Federal Funds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ABR Loans. If such Lender pays such amount to the Administrative Agent, then such amount shall constitute such Lender’s Loan included in such Borrowing.</w:t>
      </w:r>
    </w:p>
    <w:p>
      <w:pPr>
        <w:spacing w:after="0" w:line="183"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2.08. </w:t>
      </w:r>
      <w:r>
        <w:rPr>
          <w:rFonts w:ascii="Times New Roman" w:cs="Times New Roman" w:eastAsia="Times New Roman" w:hAnsi="Times New Roman"/>
          <w:sz w:val="18"/>
          <w:szCs w:val="18"/>
          <w:u w:val="single" w:color="auto"/>
          <w:color w:val="000000"/>
        </w:rPr>
        <w:t>Interest Elections</w:t>
      </w:r>
      <w:r>
        <w:rPr>
          <w:rFonts w:ascii="Times New Roman" w:cs="Times New Roman" w:eastAsia="Times New Roman" w:hAnsi="Times New Roman"/>
          <w:sz w:val="18"/>
          <w:szCs w:val="18"/>
          <w:color w:val="000000"/>
        </w:rPr>
        <w:t>. (a) Each Borrowing initially shall be of the Type specified in the applicable Borrowing Request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case of a Term SOFR Borrowing or an Alternative Currency Term Rate Borrowing, shall have an initial Interest Period as specified in such Borrowing Request. Thereafter, the relevant Borrower may elect to convert such Borrowing to a different Type or to continue such Borrowing and, in the case of a Term SOFR Borrowing or an Alternative Currency Term Rate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5" w:lineRule="exact"/>
        <w:rPr>
          <w:sz w:val="20"/>
          <w:szCs w:val="20"/>
          <w:color w:val="auto"/>
        </w:rPr>
      </w:pPr>
    </w:p>
    <w:p>
      <w:pPr>
        <w:jc w:val="both"/>
        <w:ind w:left="2" w:firstLine="1176"/>
        <w:spacing w:after="0" w:line="254" w:lineRule="auto"/>
        <w:tabs>
          <w:tab w:leader="none" w:pos="1757"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make an election pursuant to this Section, a Borrower, or the Company on its behalf, shall notify the Administrative Agent of such election (by telephone or irrevocable written notice in the case of a Borrowing denominated in Dollars or by irrevocable written notice (via an Interest Election Request in a form approved by the Administrative Agent and signed by such Borrower, or the Company on its behalf) in the case of a Borrowing denominated in a Foreign Currency) by the time that a Borrowing Request would be required under Section 2.03 if such Borrower were requesting a Borrowing of the Type and Class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(including any form on an electric platform or electronic transmission system as shall be approved by the Administrative Agent) and signed by the relevant Borrower, or the Company on its behalf. Notwithstanding any contrary provision herein, this Section shall not be construed to permit any Borrower to (i) change the currency of any Borrowing, (ii) elect an Interest Period for Term SOFR Loans or Alternative Currency Term Rate Loans that does not comply with Section 2.02(d) or (iii) convert any</w:t>
      </w:r>
    </w:p>
    <w:p>
      <w:pPr>
        <w:sectPr>
          <w:pgSz w:w="11900" w:h="16838" w:orient="portrait"/>
          <w:cols w:equalWidth="0" w:num="1">
            <w:col w:w="11242"/>
          </w:cols>
          <w:pgMar w:left="318" w:top="63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Borrowing to a Borrowing of a Type not available under the Class of Commitments pursuant to which such Borrowing was made.</w:t>
      </w:r>
    </w:p>
    <w:p>
      <w:pPr>
        <w:spacing w:after="0" w:line="235" w:lineRule="exact"/>
        <w:rPr>
          <w:sz w:val="20"/>
          <w:szCs w:val="20"/>
          <w:color w:val="auto"/>
        </w:rPr>
      </w:pPr>
    </w:p>
    <w:p>
      <w:pPr>
        <w:ind w:left="1760" w:hanging="584"/>
        <w:spacing w:after="0"/>
        <w:tabs>
          <w:tab w:leader="none" w:pos="176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2.02:</w:t>
      </w:r>
    </w:p>
    <w:p>
      <w:pPr>
        <w:spacing w:after="0" w:line="222" w:lineRule="exact"/>
        <w:rPr>
          <w:sz w:val="20"/>
          <w:szCs w:val="20"/>
          <w:color w:val="auto"/>
        </w:rPr>
      </w:pPr>
    </w:p>
    <w:p>
      <w:pPr>
        <w:jc w:val="both"/>
        <w:ind w:firstLine="1176"/>
        <w:spacing w:after="0" w:line="259" w:lineRule="auto"/>
        <w:tabs>
          <w:tab w:leader="none" w:pos="1765"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1480" w:hanging="304"/>
        <w:spacing w:after="0"/>
        <w:tabs>
          <w:tab w:leader="none" w:pos="14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214"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2"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the resulting Borrowing is to be an ABR Borrowing, a Term SOFR Borrowing or a Foreign Currency Borrowing;</w:t>
      </w:r>
    </w:p>
    <w:p>
      <w:pPr>
        <w:spacing w:after="0" w:line="234" w:lineRule="exact"/>
        <w:rPr>
          <w:rFonts w:ascii="Times New Roman" w:cs="Times New Roman" w:eastAsia="Times New Roman" w:hAnsi="Times New Roman"/>
          <w:sz w:val="18"/>
          <w:szCs w:val="18"/>
          <w:color w:val="010000"/>
        </w:rPr>
      </w:pPr>
    </w:p>
    <w:p>
      <w:pPr>
        <w:ind w:firstLine="1176"/>
        <w:spacing w:after="0" w:line="287" w:lineRule="auto"/>
        <w:tabs>
          <w:tab w:leader="none" w:pos="1757"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resulting Borrowing is a Term SOFR Borrowing, the Interest Period to be applicable thereto after giving effect to such election, which Interest Period shall be a period contemplated by the definition of the term “Interest Period”; and</w:t>
      </w:r>
    </w:p>
    <w:p>
      <w:pPr>
        <w:spacing w:after="0" w:line="155"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resulting Borrowing is an Alternative Currency Term Rate Borrowing, the Interest Period and Agreed Currency to be applicable thereto after giving effect to such election, which Interest Period shall be a period contemplated by the definition of the term “Interest Period”.</w:t>
      </w:r>
    </w:p>
    <w:p>
      <w:pPr>
        <w:spacing w:after="0" w:line="155"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auto"/>
        </w:rPr>
        <w:t>If any such Interest Election Request requests a Term SOFR Borrowing or an Alternative Currency Term Rate Borrowing, but does not specify an Interest Period, then the applicable Borrower shall be deemed to have selected an Interest Period of one month’s duration.</w:t>
      </w:r>
    </w:p>
    <w:p>
      <w:pPr>
        <w:spacing w:after="0" w:line="168" w:lineRule="exact"/>
        <w:rPr>
          <w:sz w:val="20"/>
          <w:szCs w:val="20"/>
          <w:color w:val="auto"/>
        </w:rPr>
      </w:pPr>
    </w:p>
    <w:p>
      <w:pPr>
        <w:ind w:firstLine="1176"/>
        <w:spacing w:after="0" w:line="273" w:lineRule="auto"/>
        <w:tabs>
          <w:tab w:leader="none" w:pos="1756"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79" w:lineRule="exact"/>
        <w:rPr>
          <w:rFonts w:ascii="Times New Roman" w:cs="Times New Roman" w:eastAsia="Times New Roman" w:hAnsi="Times New Roman"/>
          <w:sz w:val="18"/>
          <w:szCs w:val="18"/>
          <w:color w:val="010000"/>
        </w:rPr>
      </w:pPr>
    </w:p>
    <w:p>
      <w:pPr>
        <w:jc w:val="both"/>
        <w:ind w:firstLine="1176"/>
        <w:spacing w:after="0" w:line="251" w:lineRule="auto"/>
        <w:tabs>
          <w:tab w:leader="none" w:pos="1758"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relevant Borrower fails to deliver a timely Interest Election Request with respect to a Term SOFR Borrowing or an Alternative Currency Term Rate Borrowing, prior to the end of the Interest Period applicable thereto, then, unless such Borrowing is repaid as provided herein, at the end of such Interest Period (i) in the case of a Borrowing denominated in Dollars, such Borrowing shall be converted to an ABR Borrowing and (ii) in the case of a Borrowing denominated in a Foreign Currency in respect of which the applicable Borrower shall have failed to deliver an Interest Election Request prior to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Business Day preceding the end of such Interest Period, such Borrowing shall automatically continue as an Alternative Currency Term Rate Borrowing in the same Agreed Currency with an Interest Period of one month unless such Alternative Currency Term Rate Borrowing is or was repaid in accordance with Section 2.11.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may be converted to or continued as a Term SOFR Borrowing, (ii) unless repaid, each Term SOFR Borrowing denominated in Dollars shall be converted to an ABR Borrowing at the end of the Interest Period applicable thereto and</w:t>
      </w:r>
    </w:p>
    <w:p>
      <w:pPr>
        <w:spacing w:after="0" w:line="8" w:lineRule="exact"/>
        <w:rPr>
          <w:rFonts w:ascii="Times New Roman" w:cs="Times New Roman" w:eastAsia="Times New Roman" w:hAnsi="Times New Roman"/>
          <w:sz w:val="18"/>
          <w:szCs w:val="18"/>
          <w:color w:val="010000"/>
        </w:rPr>
      </w:pPr>
    </w:p>
    <w:p>
      <w:pPr>
        <w:ind w:firstLine="1176"/>
        <w:spacing w:after="0" w:line="257" w:lineRule="auto"/>
        <w:tabs>
          <w:tab w:leader="none" w:pos="14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repaid, each Alternative Currency Term Rate Borrowing denominated in a Foreign Currency shall automatically be continued as an Alternative Currency Term Rate Borrowing with an Interest Period of one month.</w:t>
      </w:r>
    </w:p>
    <w:p>
      <w:pPr>
        <w:spacing w:after="0" w:line="194"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2.09. </w:t>
      </w:r>
      <w:r>
        <w:rPr>
          <w:rFonts w:ascii="Times New Roman" w:cs="Times New Roman" w:eastAsia="Times New Roman" w:hAnsi="Times New Roman"/>
          <w:sz w:val="18"/>
          <w:szCs w:val="18"/>
          <w:u w:val="single" w:color="auto"/>
          <w:color w:val="000000"/>
        </w:rPr>
        <w:t>Termination and Reduction of Commitments</w:t>
      </w:r>
      <w:r>
        <w:rPr>
          <w:rFonts w:ascii="Times New Roman" w:cs="Times New Roman" w:eastAsia="Times New Roman" w:hAnsi="Times New Roman"/>
          <w:sz w:val="18"/>
          <w:szCs w:val="18"/>
          <w:color w:val="000000"/>
        </w:rPr>
        <w:t>. (a) Unless previously terminated, (i) the Delayed Draw Term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shall</w:t>
      </w:r>
    </w:p>
    <w:p>
      <w:pPr>
        <w:sectPr>
          <w:pgSz w:w="11900" w:h="16838" w:orient="portrait"/>
          <w:cols w:equalWidth="0" w:num="1">
            <w:col w:w="11240"/>
          </w:cols>
          <w:pgMar w:left="320" w:top="634" w:right="339" w:bottom="1440" w:gutter="0" w:footer="0" w:header="0"/>
        </w:sectPr>
      </w:pPr>
    </w:p>
    <w:bookmarkStart w:id="127" w:name="page128"/>
    <w:bookmarkEnd w:id="127"/>
    <w:p>
      <w:pPr>
        <w:ind w:right="20"/>
        <w:spacing w:after="0" w:line="287" w:lineRule="auto"/>
        <w:rPr>
          <w:sz w:val="20"/>
          <w:szCs w:val="20"/>
          <w:color w:val="auto"/>
        </w:rPr>
      </w:pPr>
      <w:r>
        <w:rPr>
          <w:rFonts w:ascii="Times New Roman" w:cs="Times New Roman" w:eastAsia="Times New Roman" w:hAnsi="Times New Roman"/>
          <w:sz w:val="18"/>
          <w:szCs w:val="18"/>
          <w:color w:val="auto"/>
        </w:rPr>
        <w:t>terminate in full on the Delayed Draw Commitment Termination Date and (ii) the Revolving Commitments shall terminate in full on the Revolving Credit Maturity Date.</w:t>
      </w:r>
    </w:p>
    <w:p>
      <w:pPr>
        <w:spacing w:after="0" w:line="155" w:lineRule="exact"/>
        <w:rPr>
          <w:sz w:val="20"/>
          <w:szCs w:val="20"/>
          <w:color w:val="auto"/>
        </w:rPr>
      </w:pPr>
    </w:p>
    <w:p>
      <w:pPr>
        <w:jc w:val="both"/>
        <w:ind w:firstLine="1176"/>
        <w:spacing w:after="0" w:line="261" w:lineRule="auto"/>
        <w:tabs>
          <w:tab w:leader="none" w:pos="1756"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The Company may at any time terminate, or from time to time reduce,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each reduction of the Revolving Commitments shall be in an amount that is an integral multiple of $1,000,000 and not less than $5,000,000 and (2) the Company shall not terminate or reduce the Revolving Commitments if, after giving effect to any concurrent prepayment of the Loans in accordance with Section 2.11, the Dollar Amount of the sum of the Revolving Credit Exposures would exceed the aggregate Revolving Commitments.</w:t>
      </w:r>
    </w:p>
    <w:p>
      <w:pPr>
        <w:spacing w:after="0" w:line="192" w:lineRule="exact"/>
        <w:rPr>
          <w:sz w:val="20"/>
          <w:szCs w:val="20"/>
          <w:color w:val="auto"/>
        </w:rPr>
      </w:pPr>
    </w:p>
    <w:p>
      <w:pPr>
        <w:jc w:val="both"/>
        <w:ind w:right="20" w:firstLine="1176"/>
        <w:spacing w:after="0" w:line="256" w:lineRule="auto"/>
        <w:tabs>
          <w:tab w:leader="none" w:pos="14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any time terminate, or from time to time reduce, the Delayed Draw Term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reduction of such Delayed Draw Term Loan Commitments shall be in an amount that is an integral multiple of $1,000,000 and not less than $5,000,000. Unless previously terminated, the Delayed Draw Term Loan Commitments shall (x) upon the funding of any Delayed Draw Term Loan, be reduced to $0 after the funding of such Delayed Draw Term Loan and (y) automatically terminate with respect to the remainder (if any) on the Delayed Draw Commitment Termination Date.</w:t>
      </w:r>
    </w:p>
    <w:p>
      <w:pPr>
        <w:spacing w:after="0" w:line="197" w:lineRule="exact"/>
        <w:rPr>
          <w:sz w:val="20"/>
          <w:szCs w:val="20"/>
          <w:color w:val="auto"/>
        </w:rPr>
      </w:pPr>
    </w:p>
    <w:p>
      <w:pPr>
        <w:jc w:val="both"/>
        <w:ind w:right="20" w:firstLine="1176"/>
        <w:spacing w:after="0" w:line="254" w:lineRule="auto"/>
        <w:tabs>
          <w:tab w:leader="none" w:pos="1758"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shall notify the Administrative Agent of any election to terminate or reduce any Commitments under paragraph (b) of this Section at least three (3) Business Days prior to the effective date of such termination or reduction, specifying such election and the effective date thereof. Promptly following receipt of any notice, the Administrative Agent shall advise the relevant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any Commitments delivered by the Company may state that such notice is conditioned upon the effectiveness of other credit facilities or any other transaction, in which case such notice may be revoked by the Company (by notice to the Administrative Agent on or prior to the specified effective date) if such condition is not satisfied. Any termination or reduction of any Commitments shall be permanent. Each reduction of the Revolving Commitments shall be made ratably among the Revolving Lenders in accordance with their respective Revolving Commitments. Each reduction of the Delayed Draw Term Loan Commitments shall be made ratably among the Delayed Draw Term Lenders in accordance with their respective Delayed Draw Term Loan Commitments.</w:t>
      </w:r>
    </w:p>
    <w:p>
      <w:pPr>
        <w:spacing w:after="0" w:line="188"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u w:val="single" w:color="auto"/>
          <w:color w:val="000000"/>
        </w:rPr>
        <w:t>Repayment of Loans; Evidence of Debt</w:t>
      </w:r>
      <w:r>
        <w:rPr>
          <w:rFonts w:ascii="Times New Roman" w:cs="Times New Roman" w:eastAsia="Times New Roman" w:hAnsi="Times New Roman"/>
          <w:sz w:val="18"/>
          <w:szCs w:val="18"/>
          <w:color w:val="000000"/>
        </w:rPr>
        <w:t>. (a) Each Borrower hereby unconditionally promises to pay (i)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for the account of each Revolving Lender the then unpaid principal amount of each Revolving Loan made to such Borrower on the Revolving Credit Maturity Date in the currency of such Loan and</w:t>
      </w:r>
    </w:p>
    <w:p>
      <w:pPr>
        <w:spacing w:after="0" w:line="1" w:lineRule="exact"/>
        <w:rPr>
          <w:sz w:val="20"/>
          <w:szCs w:val="20"/>
          <w:color w:val="auto"/>
        </w:rPr>
      </w:pPr>
    </w:p>
    <w:p>
      <w:pPr>
        <w:ind w:right="20" w:firstLine="1176"/>
        <w:spacing w:after="0" w:line="248" w:lineRule="auto"/>
        <w:tabs>
          <w:tab w:leader="none" w:pos="14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to the Swingline Lender the then unpaid principal amount of each Swingline Loan on the earlier of the Revolving Credit Maturity Date and the first date after such Swingline Loan is made that is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or last day of a calendar month and is at least two</w:t>
      </w:r>
    </w:p>
    <w:p>
      <w:pPr>
        <w:spacing w:after="0" w:line="1" w:lineRule="exact"/>
        <w:rPr>
          <w:rFonts w:ascii="Times New Roman" w:cs="Times New Roman" w:eastAsia="Times New Roman" w:hAnsi="Times New Roman"/>
          <w:sz w:val="18"/>
          <w:szCs w:val="18"/>
          <w:color w:val="auto"/>
        </w:rPr>
      </w:pPr>
    </w:p>
    <w:p>
      <w:pPr>
        <w:ind w:right="20" w:firstLine="1178"/>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Company shall repay all Swingline Loans then outstanding.</w:t>
      </w:r>
    </w:p>
    <w:p>
      <w:pPr>
        <w:spacing w:after="0" w:line="168" w:lineRule="exact"/>
        <w:rPr>
          <w:sz w:val="20"/>
          <w:szCs w:val="20"/>
          <w:color w:val="auto"/>
        </w:rPr>
      </w:pPr>
    </w:p>
    <w:p>
      <w:pPr>
        <w:jc w:val="both"/>
        <w:ind w:right="20" w:firstLine="1176"/>
        <w:spacing w:after="0" w:line="254" w:lineRule="auto"/>
        <w:tabs>
          <w:tab w:leader="none" w:pos="1756"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hereby unconditionally promises to repay the outstanding principal amount of the Delayed Draw Term Loans to the Administrative Agent for the ratable account of each applicable Delayed Draw Term Lender (i) on the last Business Day of September 2022, an amount equal to 2.50% of the aggregate amount of Delayed Draw Term Loans borrowed hereunder during the Delayed Draw Term Loan Availability Period (as such payments may be reduced from time to time as a result of the application of prepayments in accordance with Section 2.11), (ii) commencing on the last Business Day of December 2022, on the last Business Day of each March, June, September and December prior to the Delayed Draw Term Loan Maturity Date (each such date, together with the date referred to in the foregoing clause (i), being referred to as a “</w:t>
      </w:r>
      <w:r>
        <w:rPr>
          <w:rFonts w:ascii="Times New Roman" w:cs="Times New Roman" w:eastAsia="Times New Roman" w:hAnsi="Times New Roman"/>
          <w:sz w:val="18"/>
          <w:szCs w:val="18"/>
          <w:u w:val="single" w:color="auto"/>
          <w:color w:val="auto"/>
        </w:rPr>
        <w:t>Loan Installment Date</w:t>
      </w:r>
      <w:r>
        <w:rPr>
          <w:rFonts w:ascii="Times New Roman" w:cs="Times New Roman" w:eastAsia="Times New Roman" w:hAnsi="Times New Roman"/>
          <w:sz w:val="18"/>
          <w:szCs w:val="18"/>
          <w:color w:val="auto"/>
        </w:rPr>
        <w:t>”), in each case in an amount equal to 1.25% of the aggregate amount of Delayed Draw Term Loans borrowed hereunder during the Delayed Draw Term Loan Availability Period (as such payments may be reduced from time to time as a result of the application of prepayments in accordance with Section 2.11) and (iii) on the Delayed Draw Term Loan Maturity Date, in an amount equal to the remainder of the principal amount of the Delayed Draw Term Loans outstanding on</w:t>
      </w:r>
    </w:p>
    <w:p>
      <w:pPr>
        <w:sectPr>
          <w:pgSz w:w="11900" w:h="16838" w:orient="portrait"/>
          <w:cols w:equalWidth="0" w:num="1">
            <w:col w:w="11260"/>
          </w:cols>
          <w:pgMar w:left="320" w:top="634" w:right="319" w:bottom="1440" w:gutter="0" w:footer="0" w:header="0"/>
        </w:sectPr>
      </w:pPr>
    </w:p>
    <w:bookmarkStart w:id="128" w:name="page129"/>
    <w:bookmarkEnd w:id="128"/>
    <w:p>
      <w:pPr>
        <w:jc w:val="both"/>
        <w:spacing w:after="0" w:line="264" w:lineRule="auto"/>
        <w:rPr>
          <w:sz w:val="20"/>
          <w:szCs w:val="20"/>
          <w:color w:val="auto"/>
        </w:rPr>
      </w:pPr>
      <w:r>
        <w:rPr>
          <w:rFonts w:ascii="Times New Roman" w:cs="Times New Roman" w:eastAsia="Times New Roman" w:hAnsi="Times New Roman"/>
          <w:sz w:val="18"/>
          <w:szCs w:val="18"/>
          <w:color w:val="auto"/>
        </w:rPr>
        <w:t>such date, together in each case with accrued and unpaid interest on the principal amount to be paid to but excluding the date of such payment.Each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8" w:lineRule="exact"/>
        <w:rPr>
          <w:sz w:val="20"/>
          <w:szCs w:val="20"/>
          <w:color w:val="auto"/>
        </w:rPr>
      </w:pPr>
    </w:p>
    <w:p>
      <w:pPr>
        <w:jc w:val="both"/>
        <w:ind w:firstLine="1176"/>
        <w:spacing w:after="0" w:line="261" w:lineRule="auto"/>
        <w:tabs>
          <w:tab w:leader="none" w:pos="1758"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010000"/>
        </w:rPr>
      </w:pPr>
    </w:p>
    <w:p>
      <w:pPr>
        <w:jc w:val="both"/>
        <w:ind w:firstLine="1176"/>
        <w:spacing w:after="0" w:line="271" w:lineRule="auto"/>
        <w:tabs>
          <w:tab w:leader="none" w:pos="1756"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70"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8"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may request, through the Administrative Agent, that Loans made by it to any Borrower be evidenced by a promissory note. In such event, the relevant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any such promissory note is a registered note, to such payee and its registered assigns).</w:t>
      </w:r>
    </w:p>
    <w:p>
      <w:pPr>
        <w:spacing w:after="0" w:line="197" w:lineRule="exact"/>
        <w:rPr>
          <w:sz w:val="20"/>
          <w:szCs w:val="20"/>
          <w:color w:val="auto"/>
        </w:rPr>
      </w:pPr>
    </w:p>
    <w:p>
      <w:pPr>
        <w:ind w:left="4760"/>
        <w:spacing w:after="0"/>
        <w:tabs>
          <w:tab w:leader="none" w:pos="6080" w:val="left"/>
        </w:tabs>
        <w:rPr>
          <w:sz w:val="20"/>
          <w:szCs w:val="20"/>
          <w:color w:val="auto"/>
        </w:rPr>
      </w:pPr>
      <w:r>
        <w:rPr>
          <w:rFonts w:ascii="Times New Roman" w:cs="Times New Roman" w:eastAsia="Times New Roman" w:hAnsi="Times New Roman"/>
          <w:sz w:val="18"/>
          <w:szCs w:val="18"/>
          <w:color w:val="010000"/>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176"/>
        <w:spacing w:after="0" w:line="255" w:lineRule="auto"/>
        <w:tabs>
          <w:tab w:leader="none" w:pos="1758"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(and, in the case of prepayment of a Swingline Loan, the Swingline Lender) by telephone or electronic communication, if arrangements for doing so have been approved by the Administrative Agent) of any prepayment hereunder (i) in the case of prepayment of a Term SOFR Borrowing, not later than 11:00 a.m., Local Time, three</w:t>
      </w:r>
    </w:p>
    <w:p>
      <w:pPr>
        <w:jc w:val="both"/>
        <w:ind w:firstLine="1178"/>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(3) Business Days before the date of prepayment, (ii) in the case of prepayment of an Alternative Currency Loan, not later than 11:00 a.m., Local Time, four (4) Business Days before the date of prepayment, (iii) in the case of prepayment of an ABR Borrowing, not later than 11:00 a.m., New York City time, on the date of prepayment or (iv) in the case of prepayment of a Swingline Loan, not later than 12:00 noon, New York City time, on the date of prepayment (such notice, “</w:t>
      </w:r>
      <w:r>
        <w:rPr>
          <w:rFonts w:ascii="Times New Roman" w:cs="Times New Roman" w:eastAsia="Times New Roman" w:hAnsi="Times New Roman"/>
          <w:sz w:val="18"/>
          <w:szCs w:val="18"/>
          <w:u w:val="single" w:color="auto"/>
          <w:color w:val="auto"/>
        </w:rPr>
        <w:t>Prepayment Notice</w:t>
      </w:r>
      <w:r>
        <w:rPr>
          <w:rFonts w:ascii="Times New Roman" w:cs="Times New Roman" w:eastAsia="Times New Roman" w:hAnsi="Times New Roman"/>
          <w:sz w:val="18"/>
          <w:szCs w:val="18"/>
          <w:color w:val="auto"/>
        </w:rPr>
        <w:t xml:space="preserve">”). Each Prepayment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Prepayment Notice is given in connection with a conditional notice of termination of any Commitments as contemplated by Section 2.09, then such Prepayment Notice may be revoked if such notice of termination is revoked in accordance with Section 2.09. Promptly following receipt of any such notice relating to a Borrowing, the Administrative Agent shall advise the relevant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and each voluntary prepayment of a Delayed Draw Term Loan Borrowing shall be applied ratably to the Delayed Draw Term Loans included in the prepaid Delayed Draw Term Loan Borrowing in such order of application as directed by the Company. Prepayments shall be accompanied by (i) accrued interest to the extent required by Section 2.13 and (ii) break funding payments pursuant to Section 2.16 (if any).</w:t>
      </w:r>
    </w:p>
    <w:p>
      <w:pPr>
        <w:sectPr>
          <w:pgSz w:w="11900" w:h="16838" w:orient="portrait"/>
          <w:cols w:equalWidth="0" w:num="1">
            <w:col w:w="11240"/>
          </w:cols>
          <w:pgMar w:left="320" w:top="634" w:right="339" w:bottom="1440" w:gutter="0" w:footer="0" w:header="0"/>
        </w:sectPr>
      </w:pPr>
    </w:p>
    <w:bookmarkStart w:id="129" w:name="page130"/>
    <w:bookmarkEnd w:id="129"/>
    <w:p>
      <w:pPr>
        <w:jc w:val="both"/>
        <w:ind w:firstLine="1176"/>
        <w:spacing w:after="0" w:line="256" w:lineRule="auto"/>
        <w:tabs>
          <w:tab w:leader="none" w:pos="1756"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at any time, (i) other than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the aggregate Revolving Commitments or (ii) solely as a result of fluctuations in currency exchange rates, the sum of the aggregate principal Dollar Amount of all of the Revolving Credit Exposures (so calculated) exceeds 105% of the aggregate Revolving Commitments, the Borrowers shall in each case immediately repay Revolving Borrowings or cash collateralize LC Exposure in an account with the Administrative Agent pursuant to Section 2.06(j), as applicable, in an aggregate principal amount sufficient to cause the aggregate Dollar Amount of all Revolving Credit Exposures (so calculated) to be less than or equal to the aggregate Revolving Commitments.</w:t>
      </w:r>
    </w:p>
    <w:p>
      <w:pPr>
        <w:spacing w:after="0" w:line="18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u w:val="single" w:color="auto"/>
          <w:color w:val="000000"/>
        </w:rPr>
        <w:t>Fees</w:t>
      </w:r>
      <w:r>
        <w:rPr>
          <w:rFonts w:ascii="Times New Roman" w:cs="Times New Roman" w:eastAsia="Times New Roman" w:hAnsi="Times New Roman"/>
          <w:sz w:val="18"/>
          <w:szCs w:val="18"/>
          <w:color w:val="000000"/>
        </w:rPr>
        <w:t>. (a) The Company agrees to pay to the Administrative Agent for the account of each Revolving Lender a facility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fee, which shall accrue at the Applicable Rate on the aggregate Revolving Commitment (whether drawn or undrawn) of such Lender during the period from and including the Effective Date to but excluding the date on which such Revolving Commitment terminates;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Lender continues to have any Revolving Credit Exposure after its Revolving Commitment terminates, then such facility fee shall continue to accrue on the daily amount of such Lender’s Revolving Credit Exposure from and including the date on which its Revolving Commitment terminates to but excluding the date on which such Lender ceases to have any Revolving Credit Exposure. Accrued facility fees shall be payable in arrears on the last Business Day of March, June, September and December of each year and on the date on which the Revolving Commitments terminate, commencing on the first such date to occur after the Effective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90" w:lineRule="exact"/>
        <w:rPr>
          <w:sz w:val="20"/>
          <w:szCs w:val="20"/>
          <w:color w:val="auto"/>
        </w:rPr>
      </w:pPr>
    </w:p>
    <w:p>
      <w:pPr>
        <w:jc w:val="both"/>
        <w:ind w:firstLine="1176"/>
        <w:spacing w:after="0" w:line="251" w:lineRule="auto"/>
        <w:tabs>
          <w:tab w:leader="none" w:pos="1756"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Borrowers agree to pay (i) to the Administrative Agent for the account of each Revolving Lender a participation fee with respect to its participations in Standby Letters of Credit, which shall accrue at the same Applicable Rate used to determine the interest rate applicable to Term SOFR Revolving Loans on the average daily Dollar Amount of such Lender’s LC Exposure in respect of Standby Letters of Credit (excluding any portion thereof attributable to unreimbursed LC Disbursements in respect of Standby Letters of Credit) during the period from and including the Effective Date to but excluding the later of the date on which such Lender’s Revolving Commitment terminates and the date on which such Lender ceases to have any LC Exposure in respect of Standby Letters of Credit, (ii) to the Administrative Agent for the account of each Revolving Lender a participation fee with respect to its participations in Commercial Letters of Credit, which shall accrue at the Applicable Rate applicable to Commercial Letters of Credit on the average daily Dollar Amount of such Lender’s LC Exposure in respect of Commercial Letters of Credit (excluding any portion thereof attributable to unreimbursed LC Disbursements in respect of Commercial Letters of Credit) during the period from and including the Effective Date to but excluding the later of the date on which such Revolving Lender’s Revolving Commitment terminates and the date on which such Lender ceases to have any LC Exposure in respect of Commercial Letters of Credit and (iii) to the relevant Issuing Bank for its own account a fronting fee, which shall accrue at a rate per annum of 0.125%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Business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Business Days after demand. All participation fees and fronting fees shall be computed on the basis of a year of 360</w:t>
      </w:r>
    </w:p>
    <w:p>
      <w:pPr>
        <w:sectPr>
          <w:pgSz w:w="11900" w:h="16838" w:orient="portrait"/>
          <w:cols w:equalWidth="0" w:num="1">
            <w:col w:w="11240"/>
          </w:cols>
          <w:pgMar w:left="320" w:top="634"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18"/>
          <w:szCs w:val="18"/>
          <w:color w:val="auto"/>
        </w:rPr>
        <w:t>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 w:lineRule="exact"/>
        <w:rPr>
          <w:sz w:val="20"/>
          <w:szCs w:val="20"/>
          <w:color w:val="auto"/>
        </w:rPr>
      </w:pPr>
    </w:p>
    <w:p>
      <w:pPr>
        <w:jc w:val="both"/>
        <w:ind w:firstLine="1176"/>
        <w:spacing w:after="0" w:line="253" w:lineRule="auto"/>
        <w:tabs>
          <w:tab w:leader="none" w:pos="1758"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agrees to pay to the Administrative Agent for the account of each Delayed Draw Term Lender (other than a Defaulting Lender) a ticking fee, which shall accrue at a rate of 0.09% times the average daily amount of the unused Delayed Draw Term Loan Commitments of such Delayed Draw Term Lender during the period from and including the Effective Date to the earlier of (i) the termination in full of the Delayed Draw Term Loan Commitments and (ii) Delayed Draw Commitment Termination Date. Such accrued ticking fees shall be payable in arrears on the earlier of (i) the termination in full of the Delayed Draw Term Loan Commitments and (ii) the Delayed Draw Commitment Termination Date.</w:t>
      </w:r>
    </w:p>
    <w:p>
      <w:pPr>
        <w:spacing w:after="0" w:line="196"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6"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agrees to pay to the Administrative Agent, for its own account, fees payable in the amounts and at the times separately agreed upon between the Company and the Administrative Agent (including, for the avoidance of doubt, the Facilities Fee Letter between the Company, Bank of America, N.A. and BofA Securities, Inc.).</w:t>
      </w:r>
    </w:p>
    <w:p>
      <w:pPr>
        <w:spacing w:after="0" w:line="188"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8"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facility fees and participation fees, to the applicable Lenders. Fees paid shall not be refundable under any circumstances.</w:t>
      </w:r>
    </w:p>
    <w:p>
      <w:pPr>
        <w:sectPr>
          <w:pgSz w:w="11900" w:h="16838" w:orient="portrait"/>
          <w:cols w:equalWidth="0" w:num="1">
            <w:col w:w="11240"/>
          </w:cols>
          <w:pgMar w:left="320" w:top="634" w:right="339" w:bottom="1440" w:gutter="0" w:footer="0" w:header="0"/>
        </w:sectPr>
      </w:pPr>
    </w:p>
    <w:bookmarkStart w:id="131" w:name="page132"/>
    <w:bookmarkEnd w:id="131"/>
    <w:p>
      <w:pPr>
        <w:ind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2.13. </w:t>
      </w:r>
      <w:r>
        <w:rPr>
          <w:rFonts w:ascii="Times New Roman" w:cs="Times New Roman" w:eastAsia="Times New Roman" w:hAnsi="Times New Roman"/>
          <w:sz w:val="18"/>
          <w:szCs w:val="18"/>
          <w:u w:val="single" w:color="auto"/>
          <w:color w:val="000000"/>
        </w:rPr>
        <w:t>Interest</w:t>
      </w:r>
      <w:r>
        <w:rPr>
          <w:rFonts w:ascii="Times New Roman" w:cs="Times New Roman" w:eastAsia="Times New Roman" w:hAnsi="Times New Roman"/>
          <w:sz w:val="18"/>
          <w:szCs w:val="18"/>
          <w:color w:val="000000"/>
        </w:rPr>
        <w:t>. (a) The Loans comprising each ABR Borrowing (including each Swingline Loan) shall bear interest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Alternate Base Rate plus the Applicable Rate.</w:t>
      </w:r>
    </w:p>
    <w:p>
      <w:pPr>
        <w:spacing w:after="0" w:line="155" w:lineRule="exact"/>
        <w:rPr>
          <w:sz w:val="20"/>
          <w:szCs w:val="20"/>
          <w:color w:val="auto"/>
        </w:rPr>
      </w:pPr>
    </w:p>
    <w:p>
      <w:pPr>
        <w:jc w:val="both"/>
        <w:ind w:firstLine="1176"/>
        <w:spacing w:after="0" w:line="261" w:lineRule="auto"/>
        <w:tabs>
          <w:tab w:leader="none" w:pos="1756"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Loans comprising each Term SOFR Borrowing shall bear interest at Term SOFR for the Interest Period in effect for such Borrowing plus the Applicable Rate. The Loans comprising each Alternative Currency Daily Rate Borrowing shall bear interest at the applicable Alternative Currency Daily Rate plus the Applicable Rate. The Loans comprising each Alternative Currency Term Rate Borrowing shall bear interest at the applicable Alternative Currency Term Rate for the Interest Period in effect for such Borrowing plus the Applicable Rate.</w:t>
      </w:r>
    </w:p>
    <w:p>
      <w:pPr>
        <w:spacing w:after="0" w:line="191"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8"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96"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6"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84"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8"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interest hereunder shall be computed on the basis of a year of 360 days, except that interest (i) computed by reference to the Alternate Base Rate at times when the Alternate Base Rate is based on the Prime Rate shall be computed on the basis of a year of 365 days (or 366 days in a leap year) and (ii) notwithstanding the prior clause (i), in the case of interest in respect of Loans denominated in Agreed Currencies of the type set forth in clause (v) of the definition thereof as to which market practice differs from the foregoing, in accordance with such market practice. The applicable Alternate Base Rate, Term SOFR or Alternative Currency Daily Rate or Alternative Currency Term Rate shall be determined by the Administrative Agent, and such determination shall be conclusive absent manifest error.</w:t>
      </w:r>
    </w:p>
    <w:p>
      <w:pPr>
        <w:spacing w:after="0" w:line="197"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2.14.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Inability to Determine Rates</w:t>
      </w:r>
      <w:r>
        <w:rPr>
          <w:rFonts w:ascii="Times New Roman" w:cs="Times New Roman" w:eastAsia="Times New Roman" w:hAnsi="Times New Roman"/>
          <w:sz w:val="18"/>
          <w:szCs w:val="18"/>
          <w:color w:val="000000"/>
        </w:rPr>
        <w:t>. If in connection with any request for a Term SOFR Loan or an Alternative Currency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or a conversion of ABR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Section 2.14(b), and the circumstances under clause (i) of Section 2.14(b) or the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Alternate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98"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Thereafter, (x) the obligation of the Lenders to make or maintain Loans in the affected currencies, as applicable, or to convert ABR Loans to Term SOFR Loans, shall be suspended in each case to the extent of the affected Term SOFR Loans, Alternative Currency Loans or Interest Period or determination</w:t>
      </w:r>
    </w:p>
    <w:p>
      <w:pPr>
        <w:sectPr>
          <w:pgSz w:w="11900" w:h="16838" w:orient="portrait"/>
          <w:cols w:equalWidth="0" w:num="1">
            <w:col w:w="11240"/>
          </w:cols>
          <w:pgMar w:left="320" w:top="855"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date(s), as applicable, and (y)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92"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 xml:space="preserve">Upon receipt of such notice, (i) the applicable Borrower may revoke any pending request for a Borrowing of, or conversion to, or continuation of Term SOFR Loans or Alternative Currency Loans to the extent of the affected Term SOFR Loans, Alternative Currency Loans or Interest Period or determination date(s), as applicable or, failing that, will be deemed to have converted such request into a request for a Borrowing of ABR Loans denominated in Dollars in the Dollar Equivalent of the amount specified therein and (ii)(A) any outstanding Term SOFR Loans shall be deemed to have been converted to ABR Loans immediately at the end of their respective applicable Interest Period and (B) any outstanding affected Alternative Currency Loans, at the applicable Borrower’s election, shall either (1) be converted into a Borrowing of ABR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applicable Borrower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applicable Borrower shall be deemed to have elected clause (1) above.</w:t>
      </w:r>
    </w:p>
    <w:p>
      <w:pPr>
        <w:spacing w:after="0" w:line="202" w:lineRule="exact"/>
        <w:rPr>
          <w:sz w:val="20"/>
          <w:szCs w:val="20"/>
          <w:color w:val="auto"/>
        </w:rPr>
      </w:pPr>
    </w:p>
    <w:p>
      <w:pPr>
        <w:jc w:val="both"/>
        <w:ind w:firstLine="1176"/>
        <w:spacing w:after="0" w:line="261" w:lineRule="auto"/>
        <w:tabs>
          <w:tab w:leader="none" w:pos="17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79" w:lineRule="exact"/>
        <w:rPr>
          <w:sz w:val="20"/>
          <w:szCs w:val="20"/>
          <w:color w:val="auto"/>
        </w:rPr>
      </w:pPr>
    </w:p>
    <w:p>
      <w:pPr>
        <w:jc w:val="both"/>
        <w:ind w:firstLine="1176"/>
        <w:spacing w:after="0" w:line="256" w:lineRule="auto"/>
        <w:tabs>
          <w:tab w:leader="none" w:pos="1765"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(x) with respect to Loans denominated in Dollars,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and (y) with respect to Loans denominated in any other Agreed Currency, adequate and reasonable means do not exist for ascertaining the Relevant Rate for such Agreed Currency because none of the tenors of such Relevant Rate (including any forward-looking term rate thereof) is available or published on a current basis and such circumstances are unlikely to be temporary; or</w:t>
      </w:r>
    </w:p>
    <w:p>
      <w:pPr>
        <w:spacing w:after="0" w:line="196" w:lineRule="exact"/>
        <w:rPr>
          <w:rFonts w:ascii="Times New Roman" w:cs="Times New Roman" w:eastAsia="Times New Roman" w:hAnsi="Times New Roman"/>
          <w:sz w:val="18"/>
          <w:szCs w:val="18"/>
          <w:color w:val="010000"/>
        </w:rPr>
      </w:pPr>
    </w:p>
    <w:p>
      <w:pPr>
        <w:jc w:val="both"/>
        <w:ind w:firstLine="1176"/>
        <w:spacing w:after="0" w:line="253" w:lineRule="auto"/>
        <w:tabs>
          <w:tab w:leader="none" w:pos="1766"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(x) with respect to Loans denominated in Dollars,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and (y) with respect to Loans denominated in any other Agreed Currency, the Applicable Authority has made a public statement identifying a specific date after which all tenors of the Relevant Rate for such Agreed Currency (including any forward-looking term rate thereof) shall or will no longer be representative or made available, or used for determining the interest rate of loans denominated in such Agreed Currency, or shall or will otherwise</w:t>
      </w:r>
    </w:p>
    <w:p>
      <w:pPr>
        <w:sectPr>
          <w:pgSz w:w="11900" w:h="16838" w:orient="portrait"/>
          <w:cols w:equalWidth="0" w:num="1">
            <w:col w:w="11240"/>
          </w:cols>
          <w:pgMar w:left="320" w:top="634"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18"/>
          <w:szCs w:val="18"/>
          <w:color w:val="auto"/>
        </w:rPr>
        <w:t>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together with the Term SOFR Scheduled Unavailability Date,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jc w:val="both"/>
        <w:ind w:firstLine="1176"/>
        <w:spacing w:after="0" w:line="257" w:lineRule="auto"/>
        <w:tabs>
          <w:tab w:leader="none" w:pos="1766"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Loans denominated in an Agreed Currency other than Dollars, syndicated loans currently being executed and agented in the U.S., are being executed or amended (as applicable) to incorporate or adopt a new benchmark interest rate to replace the Relevant Rate for such Agreed Currency.</w:t>
      </w:r>
    </w:p>
    <w:p>
      <w:pPr>
        <w:spacing w:after="0" w:line="181"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then, with respect to Loans denominated in Dollars, on a date and time determined by the Administrative Agent (any such date,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If the Term SOFR Successor Rate is Daily Simple SOFR plus the SOFR Adjustment, all interest payments will be payable on a monthly basis.</w:t>
      </w:r>
    </w:p>
    <w:p>
      <w:pPr>
        <w:spacing w:after="0" w:line="197"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Term SOFR Successor Rate or any other Successor Rate then in effect or with respect to Loans denominated in any currency other than Dollars, then in each case, the Administrative Agent and the Company may amend this Agreement solely for the purpose of replacing the Relevant Rate for an Agreed Currency or any then current Successor Rate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with an alternative benchmark rate giving due consideration to any evolving or then existing convention for similar credit facilities syndicated and agented in the United States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Company and each Lender of the implementation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Rate.</w:t>
      </w:r>
    </w:p>
    <w:p>
      <w:pPr>
        <w:spacing w:after="0" w:line="209"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0"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5"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In connection with the implementation of a Successor Rate, the Administrative Agent will have the right to make Conforming Changes from time to time and, notwithstanding anything to the contrary</w:t>
      </w:r>
    </w:p>
    <w:p>
      <w:pPr>
        <w:sectPr>
          <w:pgSz w:w="11900" w:h="16838" w:orient="portrait"/>
          <w:cols w:equalWidth="0" w:num="1">
            <w:col w:w="11240"/>
          </w:cols>
          <w:pgMar w:left="320" w:top="634" w:right="339" w:bottom="1440" w:gutter="0" w:footer="0" w:header="0"/>
        </w:sectPr>
      </w:pPr>
    </w:p>
    <w:bookmarkStart w:id="134" w:name="page135"/>
    <w:bookmarkEnd w:id="134"/>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 xml:space="preserve">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8"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2.15.</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235" w:lineRule="exact"/>
        <w:rPr>
          <w:sz w:val="20"/>
          <w:szCs w:val="20"/>
          <w:color w:val="auto"/>
        </w:rPr>
      </w:pPr>
    </w:p>
    <w:p>
      <w:pPr>
        <w:jc w:val="both"/>
        <w:ind w:right="20" w:firstLine="1176"/>
        <w:spacing w:after="0" w:line="264" w:lineRule="auto"/>
        <w:tabs>
          <w:tab w:leader="none" w:pos="1765"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modify or deem applicable any reserve (including any Statutory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175" w:lineRule="exact"/>
        <w:rPr>
          <w:rFonts w:ascii="Times New Roman" w:cs="Times New Roman" w:eastAsia="Times New Roman" w:hAnsi="Times New Roman"/>
          <w:sz w:val="18"/>
          <w:szCs w:val="18"/>
          <w:color w:val="010000"/>
        </w:rPr>
      </w:pPr>
    </w:p>
    <w:p>
      <w:pPr>
        <w:ind w:right="20" w:firstLine="1176"/>
        <w:spacing w:after="0" w:line="287" w:lineRule="auto"/>
        <w:tabs>
          <w:tab w:leader="none" w:pos="1766"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on any Lender or any Issuing Bank or the interbank lending market any other condition, cost or expense (other than Taxes) affecting this Agreement or Loans made by such Lender or any Letter of Credit or participation therein; or</w:t>
      </w:r>
    </w:p>
    <w:p>
      <w:pPr>
        <w:spacing w:after="0" w:line="168" w:lineRule="exact"/>
        <w:rPr>
          <w:sz w:val="20"/>
          <w:szCs w:val="20"/>
          <w:color w:val="auto"/>
        </w:rPr>
      </w:pPr>
    </w:p>
    <w:p>
      <w:pPr>
        <w:jc w:val="both"/>
        <w:ind w:left="5600"/>
        <w:spacing w:after="0"/>
        <w:tabs>
          <w:tab w:leader="none" w:pos="6180" w:val="left"/>
        </w:tabs>
        <w:rPr>
          <w:sz w:val="20"/>
          <w:szCs w:val="20"/>
          <w:color w:val="auto"/>
        </w:rPr>
      </w:pPr>
      <w:r>
        <w:rPr>
          <w:rFonts w:ascii="Times New Roman" w:cs="Times New Roman" w:eastAsia="Times New Roman" w:hAnsi="Times New Roman"/>
          <w:sz w:val="18"/>
          <w:szCs w:val="18"/>
          <w:color w:val="010000"/>
        </w:rPr>
        <w:t>(iii)</w:t>
      </w:r>
      <w:r>
        <w:rPr>
          <w:sz w:val="20"/>
          <w:szCs w:val="20"/>
          <w:color w:val="auto"/>
        </w:rPr>
        <w:tab/>
      </w:r>
      <w:r>
        <w:rPr>
          <w:rFonts w:ascii="Times New Roman" w:cs="Times New Roman" w:eastAsia="Times New Roman" w:hAnsi="Times New Roman"/>
          <w:sz w:val="18"/>
          <w:szCs w:val="18"/>
          <w:color w:val="auto"/>
        </w:rPr>
        <w:t>subject any Recipient to any Taxes (other than (A) Indemnified Taxes,</w:t>
      </w:r>
    </w:p>
    <w:p>
      <w:pPr>
        <w:spacing w:after="0" w:line="22" w:lineRule="exact"/>
        <w:rPr>
          <w:sz w:val="20"/>
          <w:szCs w:val="20"/>
          <w:color w:val="auto"/>
        </w:rPr>
      </w:pPr>
    </w:p>
    <w:p>
      <w:pPr>
        <w:ind w:left="5340" w:hanging="269"/>
        <w:spacing w:after="0"/>
        <w:tabs>
          <w:tab w:leader="none" w:pos="534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described in clauses (b) through (d) of the definition of Excluded Taxes and</w:t>
      </w:r>
    </w:p>
    <w:p>
      <w:pPr>
        <w:spacing w:after="0" w:line="18" w:lineRule="exact"/>
        <w:rPr>
          <w:rFonts w:ascii="Times New Roman" w:cs="Times New Roman" w:eastAsia="Times New Roman" w:hAnsi="Times New Roman"/>
          <w:sz w:val="17"/>
          <w:szCs w:val="17"/>
          <w:color w:val="auto"/>
        </w:rPr>
      </w:pPr>
    </w:p>
    <w:p>
      <w:pPr>
        <w:ind w:firstLine="1176"/>
        <w:spacing w:after="0" w:line="257" w:lineRule="auto"/>
        <w:tabs>
          <w:tab w:leader="none" w:pos="17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Income Taxes) on its loans, loan principal, letters of credit, commitments, or other obligations, or its deposits, reserves, other liabilities or capital attributable thereto;</w:t>
      </w:r>
    </w:p>
    <w:p>
      <w:pPr>
        <w:spacing w:after="0" w:line="194"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upon request of such Lender, such Issuing Bank or such other Recipient,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85" w:lineRule="exact"/>
        <w:rPr>
          <w:sz w:val="20"/>
          <w:szCs w:val="20"/>
          <w:color w:val="auto"/>
        </w:rPr>
      </w:pPr>
    </w:p>
    <w:p>
      <w:pPr>
        <w:jc w:val="both"/>
        <w:ind w:right="20" w:firstLine="1176"/>
        <w:spacing w:after="0" w:line="254" w:lineRule="auto"/>
        <w:tabs>
          <w:tab w:leader="none" w:pos="1756"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8" w:lineRule="exact"/>
        <w:rPr>
          <w:rFonts w:ascii="Times New Roman" w:cs="Times New Roman" w:eastAsia="Times New Roman" w:hAnsi="Times New Roman"/>
          <w:sz w:val="18"/>
          <w:szCs w:val="18"/>
          <w:color w:val="010000"/>
        </w:rPr>
      </w:pPr>
    </w:p>
    <w:p>
      <w:pPr>
        <w:jc w:val="both"/>
        <w:ind w:right="20" w:firstLine="1176"/>
        <w:spacing w:after="0" w:line="261" w:lineRule="auto"/>
        <w:tabs>
          <w:tab w:leader="none" w:pos="1758"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010000"/>
        </w:rPr>
      </w:pPr>
    </w:p>
    <w:p>
      <w:pPr>
        <w:ind w:right="20" w:firstLine="1176"/>
        <w:spacing w:after="0" w:line="318" w:lineRule="auto"/>
        <w:tabs>
          <w:tab w:leader="none" w:pos="1756" w:val="left"/>
        </w:tabs>
        <w:numPr>
          <w:ilvl w:val="0"/>
          <w:numId w:val="10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compensate a</w:t>
      </w:r>
    </w:p>
    <w:p>
      <w:pPr>
        <w:sectPr>
          <w:pgSz w:w="11900" w:h="16838" w:orient="portrait"/>
          <w:cols w:equalWidth="0" w:num="1">
            <w:col w:w="11260"/>
          </w:cols>
          <w:pgMar w:left="320" w:top="634" w:right="31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Lender or an Issuing Bank pursuant to this Section for any increased costs or reductions incurred more than 270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2" w:lineRule="exact"/>
        <w:rPr>
          <w:sz w:val="20"/>
          <w:szCs w:val="20"/>
          <w:color w:val="auto"/>
        </w:rPr>
      </w:pPr>
    </w:p>
    <w:p>
      <w:pPr>
        <w:jc w:val="both"/>
        <w:ind w:firstLine="1178"/>
        <w:spacing w:after="0" w:line="251" w:lineRule="auto"/>
        <w:rPr>
          <w:sz w:val="20"/>
          <w:szCs w:val="20"/>
          <w:color w:val="auto"/>
        </w:rPr>
      </w:pPr>
      <w:r>
        <w:rPr>
          <w:rFonts w:ascii="Times New Roman" w:cs="Times New Roman" w:eastAsia="Times New Roman" w:hAnsi="Times New Roman"/>
          <w:sz w:val="18"/>
          <w:szCs w:val="18"/>
          <w:color w:val="010000"/>
        </w:rPr>
        <w:t xml:space="preserve">SECTION 2.16. </w:t>
      </w:r>
      <w:r>
        <w:rPr>
          <w:rFonts w:ascii="Times New Roman" w:cs="Times New Roman" w:eastAsia="Times New Roman" w:hAnsi="Times New Roman"/>
          <w:sz w:val="18"/>
          <w:szCs w:val="18"/>
          <w:u w:val="single" w:color="auto"/>
          <w:color w:val="000000"/>
        </w:rPr>
        <w:t>Break Funding Payments</w:t>
      </w:r>
      <w:r>
        <w:rPr>
          <w:rFonts w:ascii="Times New Roman" w:cs="Times New Roman" w:eastAsia="Times New Roman" w:hAnsi="Times New Roman"/>
          <w:sz w:val="18"/>
          <w:szCs w:val="18"/>
          <w:color w:val="000000"/>
        </w:rPr>
        <w:t>. In the event of (a) the payment of any principal of any Term SOFR Loan or Alternative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Currency Term Rate Loan other than on the last day of an Interest Period applicable thereto (including as a result of an Event of Default or as a result of any prepayment pursuant to Section 2.11), (b) the conversion of any Term SOFR Loan or Alternative Currency Term Rate Loan other than on the last day of the Interest Period applicable thereto, (c) the failure to borrow, convert, continue or prepay any Term SOFR Loan or Alternative Currency Term Rate Loan on the date specified in any notice delivered pursuant hereto (regardless of whether such notice may be revoked under Section 2.11(a) and is revoked in accordance therewith) or (d) the assignment of any Term SOFR Loan or Alternative Currency Term Rate Loan other than on the last day of the Interest Period applicable thereto as a result of a request by the Company pursuant to Section 2.19, then, in any such event, the Borrowers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Term SOFR or the applicable Alternative Currency Term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Term SOFR market or the applicable Alternative Currency Term Rate market.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Business Days after receipt thereof.</w:t>
      </w:r>
    </w:p>
    <w:p>
      <w:pPr>
        <w:spacing w:after="0" w:line="210"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2.17.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Payments Free of Taxes</w:t>
      </w:r>
      <w:r>
        <w:rPr>
          <w:rFonts w:ascii="Times New Roman" w:cs="Times New Roman" w:eastAsia="Times New Roman" w:hAnsi="Times New Roman"/>
          <w:sz w:val="18"/>
          <w:szCs w:val="18"/>
          <w:color w:val="000000"/>
        </w:rPr>
        <w:t>. Any and all payments by or on account of any obligation of any Borrower under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6" w:lineRule="exact"/>
        <w:rPr>
          <w:sz w:val="20"/>
          <w:szCs w:val="20"/>
          <w:color w:val="auto"/>
        </w:rPr>
      </w:pPr>
    </w:p>
    <w:p>
      <w:pPr>
        <w:ind w:firstLine="1176"/>
        <w:spacing w:after="0" w:line="287" w:lineRule="auto"/>
        <w:tabs>
          <w:tab w:leader="none" w:pos="1756"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of Other Taxes by the Borrowers</w:t>
      </w:r>
      <w:r>
        <w:rPr>
          <w:rFonts w:ascii="Times New Roman" w:cs="Times New Roman" w:eastAsia="Times New Roman" w:hAnsi="Times New Roman"/>
          <w:sz w:val="18"/>
          <w:szCs w:val="18"/>
          <w:color w:val="auto"/>
        </w:rPr>
        <w:t>. The relevant Borrower shall timely pay to the relevant Governmental Authority in accordance with applicable law, or at the option of the Administrative Agent timely reimburse it for the payment of, Other Taxes.</w:t>
      </w:r>
    </w:p>
    <w:p>
      <w:pPr>
        <w:spacing w:after="0" w:line="167" w:lineRule="exact"/>
        <w:rPr>
          <w:rFonts w:ascii="Times New Roman" w:cs="Times New Roman" w:eastAsia="Times New Roman" w:hAnsi="Times New Roman"/>
          <w:sz w:val="18"/>
          <w:szCs w:val="18"/>
          <w:color w:val="010000"/>
        </w:rPr>
      </w:pPr>
    </w:p>
    <w:p>
      <w:pPr>
        <w:jc w:val="both"/>
        <w:ind w:firstLine="1176"/>
        <w:spacing w:after="0" w:line="257" w:lineRule="auto"/>
        <w:tabs>
          <w:tab w:leader="none" w:pos="1758"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any Borrower to a Governmental Authority pursuant to this Section 2.17,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pgSz w:w="11900" w:h="16838" w:orient="portrait"/>
          <w:cols w:equalWidth="0" w:num="1">
            <w:col w:w="11240"/>
          </w:cols>
          <w:pgMar w:left="320" w:top="634" w:right="339" w:bottom="1440" w:gutter="0" w:footer="0" w:header="0"/>
        </w:sectPr>
      </w:pPr>
    </w:p>
    <w:bookmarkStart w:id="136" w:name="page137"/>
    <w:bookmarkEnd w:id="136"/>
    <w:p>
      <w:pPr>
        <w:jc w:val="both"/>
        <w:ind w:left="-1120" w:firstLine="1176"/>
        <w:spacing w:after="0" w:line="256" w:lineRule="auto"/>
        <w:tabs>
          <w:tab w:leader="none" w:pos="636"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Borrowers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setting forth in reasonable detail the calculation of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96" w:lineRule="exact"/>
        <w:rPr>
          <w:rFonts w:ascii="Times New Roman" w:cs="Times New Roman" w:eastAsia="Times New Roman" w:hAnsi="Times New Roman"/>
          <w:sz w:val="18"/>
          <w:szCs w:val="18"/>
          <w:color w:val="010000"/>
        </w:rPr>
      </w:pPr>
    </w:p>
    <w:p>
      <w:pPr>
        <w:jc w:val="both"/>
        <w:ind w:left="-1120" w:firstLine="1176"/>
        <w:spacing w:after="0" w:line="271" w:lineRule="auto"/>
        <w:tabs>
          <w:tab w:leader="none" w:pos="638" w:val="left"/>
        </w:tabs>
        <w:numPr>
          <w:ilvl w:val="0"/>
          <w:numId w:val="10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Indemnification by the Lenders</w:t>
      </w:r>
      <w:r>
        <w:rPr>
          <w:rFonts w:ascii="Times New Roman" w:cs="Times New Roman" w:eastAsia="Times New Roman" w:hAnsi="Times New Roman"/>
          <w:sz w:val="17"/>
          <w:szCs w:val="17"/>
          <w:color w:val="auto"/>
        </w:rPr>
        <w:t>. Each Lender shall severally indemnify the Administrative Agent, within 10 days after demand therefor, for (i) any Indemnified Taxes attributable to such Lender (but only to the extent that any Borrower has not already indemnified the Administrative Agent for such Indemnified Taxes and without limiting the obligation of the Borrowers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72" w:lineRule="exact"/>
        <w:rPr>
          <w:rFonts w:ascii="Times New Roman" w:cs="Times New Roman" w:eastAsia="Times New Roman" w:hAnsi="Times New Roman"/>
          <w:sz w:val="17"/>
          <w:szCs w:val="17"/>
          <w:color w:val="010000"/>
        </w:rPr>
      </w:pPr>
    </w:p>
    <w:p>
      <w:pPr>
        <w:jc w:val="both"/>
        <w:ind w:left="-1120" w:firstLine="1176"/>
        <w:spacing w:after="0" w:line="253" w:lineRule="auto"/>
        <w:tabs>
          <w:tab w:leader="none" w:pos="642"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8" w:lineRule="exact"/>
        <w:rPr>
          <w:rFonts w:ascii="Times New Roman" w:cs="Times New Roman" w:eastAsia="Times New Roman" w:hAnsi="Times New Roman"/>
          <w:sz w:val="18"/>
          <w:szCs w:val="18"/>
          <w:color w:val="010000"/>
        </w:rPr>
      </w:pPr>
    </w:p>
    <w:p>
      <w:pPr>
        <w:ind w:left="1240" w:hanging="595"/>
        <w:spacing w:after="0"/>
        <w:tabs>
          <w:tab w:leader="none" w:pos="1240" w:val="left"/>
        </w:tabs>
        <w:numPr>
          <w:ilvl w:val="1"/>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limiting the generality of the foregoing,</w:t>
      </w:r>
    </w:p>
    <w:p>
      <w:pPr>
        <w:spacing w:after="0" w:line="235" w:lineRule="exact"/>
        <w:rPr>
          <w:sz w:val="20"/>
          <w:szCs w:val="20"/>
          <w:color w:val="auto"/>
        </w:rPr>
      </w:pPr>
    </w:p>
    <w:p>
      <w:pPr>
        <w:jc w:val="both"/>
        <w:ind w:left="-1120" w:firstLine="1176"/>
        <w:spacing w:after="0" w:line="264" w:lineRule="auto"/>
        <w:tabs>
          <w:tab w:leader="none" w:pos="639"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010000"/>
        </w:rPr>
      </w:pPr>
    </w:p>
    <w:p>
      <w:pPr>
        <w:jc w:val="both"/>
        <w:ind w:left="-1120" w:firstLine="1176"/>
        <w:spacing w:after="0" w:line="271" w:lineRule="auto"/>
        <w:tabs>
          <w:tab w:leader="none" w:pos="641"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ectPr>
          <w:pgSz w:w="11900" w:h="16838" w:orient="portrait"/>
          <w:cols w:equalWidth="0" w:num="1">
            <w:col w:w="10120"/>
          </w:cols>
          <w:pgMar w:left="1440" w:top="634" w:right="339" w:bottom="1440" w:gutter="0" w:footer="0" w:header="0"/>
        </w:sectPr>
      </w:pPr>
    </w:p>
    <w:bookmarkStart w:id="137" w:name="page138"/>
    <w:bookmarkEnd w:id="137"/>
    <w:p>
      <w:pPr>
        <w:jc w:val="both"/>
        <w:ind w:right="20" w:firstLine="1176"/>
        <w:spacing w:after="0" w:line="256" w:lineRule="auto"/>
        <w:tabs>
          <w:tab w:leader="none" w:pos="17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(or successor form) establishing an exemption from, or reduction of,</w:t>
      </w:r>
    </w:p>
    <w:p>
      <w:pPr>
        <w:spacing w:after="0" w:line="1" w:lineRule="exact"/>
        <w:rPr>
          <w:rFonts w:ascii="Times New Roman" w:cs="Times New Roman" w:eastAsia="Times New Roman" w:hAnsi="Times New Roman"/>
          <w:sz w:val="18"/>
          <w:szCs w:val="18"/>
          <w:color w:val="auto"/>
        </w:rPr>
      </w:pPr>
    </w:p>
    <w:p>
      <w:pPr>
        <w:jc w:val="both"/>
        <w:ind w:right="20" w:firstLine="117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withholding Tax pursuant to the “interest” article of such tax treaty and (y) with respect to any other applicable payments under any Loan Document, IRS Form W-8BEN or IRS Form W-8BEN-E (or successor form) establishing an exemption from, or reduction of, U.S. Federal withholding Tax pursuant to the “business profits” or “other income” article of such tax treaty;</w:t>
      </w:r>
    </w:p>
    <w:p>
      <w:pPr>
        <w:spacing w:after="0" w:line="193" w:lineRule="exact"/>
        <w:rPr>
          <w:sz w:val="20"/>
          <w:szCs w:val="20"/>
          <w:color w:val="auto"/>
        </w:rPr>
      </w:pPr>
    </w:p>
    <w:p>
      <w:pPr>
        <w:ind w:left="1760" w:hanging="284"/>
        <w:spacing w:after="0"/>
        <w:tabs>
          <w:tab w:leader="none" w:pos="1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2" w:lineRule="exact"/>
        <w:rPr>
          <w:rFonts w:ascii="Times New Roman" w:cs="Times New Roman" w:eastAsia="Times New Roman" w:hAnsi="Times New Roman"/>
          <w:sz w:val="18"/>
          <w:szCs w:val="18"/>
          <w:color w:val="auto"/>
        </w:rPr>
      </w:pPr>
    </w:p>
    <w:p>
      <w:pPr>
        <w:jc w:val="both"/>
        <w:ind w:right="20" w:firstLine="1176"/>
        <w:spacing w:after="0" w:line="260" w:lineRule="auto"/>
        <w:tabs>
          <w:tab w:leader="none" w:pos="17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such Borrower within the meaning of Section 871(h)(3)(B) of the Code, or a “controlled foreign corporation” related to any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 successor form); or</w:t>
      </w:r>
    </w:p>
    <w:p>
      <w:pPr>
        <w:spacing w:after="0" w:line="179" w:lineRule="exact"/>
        <w:rPr>
          <w:rFonts w:ascii="Times New Roman" w:cs="Times New Roman" w:eastAsia="Times New Roman" w:hAnsi="Times New Roman"/>
          <w:sz w:val="18"/>
          <w:szCs w:val="18"/>
          <w:color w:val="auto"/>
        </w:rPr>
      </w:pPr>
    </w:p>
    <w:p>
      <w:pPr>
        <w:jc w:val="both"/>
        <w:ind w:right="20" w:firstLine="1176"/>
        <w:spacing w:after="0" w:line="260" w:lineRule="auto"/>
        <w:tabs>
          <w:tab w:leader="none" w:pos="17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IRS Form W-8BEN-E (or successor form), a U.S. Tax Compliance Certificate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w:t>
      </w:r>
    </w:p>
    <w:p>
      <w:pPr>
        <w:spacing w:after="0" w:line="179" w:lineRule="exact"/>
        <w:rPr>
          <w:sz w:val="20"/>
          <w:szCs w:val="20"/>
          <w:color w:val="auto"/>
        </w:rPr>
      </w:pPr>
    </w:p>
    <w:p>
      <w:pPr>
        <w:jc w:val="both"/>
        <w:ind w:right="20" w:firstLine="1176"/>
        <w:spacing w:after="0" w:line="256" w:lineRule="auto"/>
        <w:tabs>
          <w:tab w:leader="none" w:pos="1761"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6"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759"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Effective Date.</w:t>
      </w:r>
    </w:p>
    <w:p>
      <w:pPr>
        <w:spacing w:after="0" w:line="198" w:lineRule="exact"/>
        <w:rPr>
          <w:sz w:val="20"/>
          <w:szCs w:val="20"/>
          <w:color w:val="auto"/>
        </w:rPr>
      </w:pPr>
    </w:p>
    <w:p>
      <w:pPr>
        <w:ind w:right="20" w:firstLine="1178"/>
        <w:spacing w:after="0" w:line="273"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79" w:lineRule="exact"/>
        <w:rPr>
          <w:sz w:val="20"/>
          <w:szCs w:val="20"/>
          <w:color w:val="auto"/>
        </w:rPr>
      </w:pPr>
    </w:p>
    <w:p>
      <w:pPr>
        <w:ind w:right="20" w:firstLine="1176"/>
        <w:spacing w:after="0" w:line="273" w:lineRule="auto"/>
        <w:tabs>
          <w:tab w:leader="none" w:pos="1756"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w:t>
      </w:r>
    </w:p>
    <w:p>
      <w:pPr>
        <w:sectPr>
          <w:pgSz w:w="11900" w:h="16838" w:orient="portrait"/>
          <w:cols w:equalWidth="0" w:num="1">
            <w:col w:w="11260"/>
          </w:cols>
          <w:pgMar w:left="320" w:top="634" w:right="31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0" w:lineRule="exact"/>
        <w:rPr>
          <w:sz w:val="20"/>
          <w:szCs w:val="20"/>
          <w:color w:val="auto"/>
        </w:rPr>
      </w:pPr>
    </w:p>
    <w:p>
      <w:pPr>
        <w:jc w:val="both"/>
        <w:ind w:right="20" w:firstLine="1176"/>
        <w:spacing w:after="0" w:line="264" w:lineRule="auto"/>
        <w:tabs>
          <w:tab w:leader="none" w:pos="1756"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8"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2.17, the term “Lender” includes each Issuing Bank and the term “applicable law”</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includes FATCA.</w:t>
      </w:r>
    </w:p>
    <w:p>
      <w:pPr>
        <w:spacing w:after="0" w:line="209"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65"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Luxembourg Registration Duty</w:t>
      </w:r>
      <w:r>
        <w:rPr>
          <w:rFonts w:ascii="Times New Roman" w:cs="Times New Roman" w:eastAsia="Times New Roman" w:hAnsi="Times New Roman"/>
          <w:sz w:val="18"/>
          <w:szCs w:val="18"/>
          <w:color w:val="auto"/>
        </w:rPr>
        <w:t>. In order to not unnecessarily cause application of Luxembourg’s registration duty applicable to documents in writing evidencing an obligation to pay, the Administrative Agent or any Lender will only take any action to file or register this Agreement or any of the Loan Documents with applicable Luxembourg authorities which would cause such registration duty to be payable if (i) the Loan Documents (and any documents in connection therewith) are enclosed to a compulsorily registrable act (acte obligatoirement enregistrable), deposited with the official records of the notary (déposé au rang des minutes d’un notaire) or otherwise produced for registration (présenté à l’enregistrement) and registration is required or (ii) the Administrative Agent reasonably deems such action necessary in connection with the protection of rights or pursuit of remedies during the continuance of an Event of Default.</w:t>
      </w:r>
    </w:p>
    <w:p>
      <w:pPr>
        <w:spacing w:after="0" w:line="185"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u w:val="single" w:color="auto"/>
          <w:color w:val="auto"/>
        </w:rPr>
        <w:t>Set-offs</w:t>
      </w:r>
      <w:r>
        <w:rPr>
          <w:rFonts w:ascii="Times New Roman" w:cs="Times New Roman" w:eastAsia="Times New Roman" w:hAnsi="Times New Roman"/>
          <w:sz w:val="18"/>
          <w:szCs w:val="18"/>
          <w:color w:val="auto"/>
        </w:rPr>
        <w:t>.</w:t>
      </w:r>
    </w:p>
    <w:p>
      <w:pPr>
        <w:sectPr>
          <w:pgSz w:w="11900" w:h="16838" w:orient="portrait"/>
          <w:cols w:equalWidth="0" w:num="1">
            <w:col w:w="11260"/>
          </w:cols>
          <w:pgMar w:left="320" w:top="634" w:right="319" w:bottom="1440" w:gutter="0" w:footer="0" w:header="0"/>
        </w:sectPr>
      </w:pPr>
    </w:p>
    <w:bookmarkStart w:id="139" w:name="page140"/>
    <w:bookmarkEnd w:id="139"/>
    <w:p>
      <w:pPr>
        <w:jc w:val="both"/>
        <w:ind w:left="-1120" w:firstLine="1176"/>
        <w:spacing w:after="0" w:line="251" w:lineRule="auto"/>
        <w:tabs>
          <w:tab w:leader="none" w:pos="638"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Borrower shall make each 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Local Time, in the city of the Administrative Agent’s Foreign 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Domestic Payment Office or, in the case of a Credit Event denominated in a Foreign Currency, the Administrative Agent’s Foreign Currency Payment Office for such currency, except payments to be made directly to an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10" w:lineRule="exact"/>
        <w:rPr>
          <w:rFonts w:ascii="Times New Roman" w:cs="Times New Roman" w:eastAsia="Times New Roman" w:hAnsi="Times New Roman"/>
          <w:sz w:val="18"/>
          <w:szCs w:val="18"/>
          <w:color w:val="010000"/>
        </w:rPr>
      </w:pPr>
    </w:p>
    <w:p>
      <w:pPr>
        <w:jc w:val="both"/>
        <w:ind w:left="-1120" w:firstLine="1176"/>
        <w:spacing w:after="0" w:line="253" w:lineRule="auto"/>
        <w:tabs>
          <w:tab w:leader="none" w:pos="636"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010000"/>
        </w:rPr>
      </w:pPr>
    </w:p>
    <w:p>
      <w:pPr>
        <w:ind w:left="1220" w:hanging="575"/>
        <w:spacing w:after="0"/>
        <w:tabs>
          <w:tab w:leader="none" w:pos="1220"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[Intentionally omitted].</w:t>
      </w:r>
    </w:p>
    <w:p>
      <w:pPr>
        <w:spacing w:after="0" w:line="235" w:lineRule="exact"/>
        <w:rPr>
          <w:sz w:val="20"/>
          <w:szCs w:val="20"/>
          <w:color w:val="auto"/>
        </w:rPr>
      </w:pPr>
    </w:p>
    <w:p>
      <w:pPr>
        <w:jc w:val="both"/>
        <w:ind w:left="-1120" w:firstLine="1176"/>
        <w:spacing w:after="0" w:line="256" w:lineRule="auto"/>
        <w:tabs>
          <w:tab w:leader="none" w:pos="636"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w:t>
      </w:r>
    </w:p>
    <w:p>
      <w:pPr>
        <w:sectPr>
          <w:pgSz w:w="11900" w:h="16838" w:orient="portrait"/>
          <w:cols w:equalWidth="0" w:num="1">
            <w:col w:w="10120"/>
          </w:cols>
          <w:pgMar w:left="1440" w:top="855" w:right="339" w:bottom="1440" w:gutter="0" w:footer="0" w:header="0"/>
        </w:sectPr>
      </w:pPr>
    </w:p>
    <w:bookmarkStart w:id="140" w:name="page141"/>
    <w:bookmarkEnd w:id="140"/>
    <w:p>
      <w:pPr>
        <w:jc w:val="both"/>
        <w:ind w:firstLine="1178"/>
        <w:spacing w:after="0" w:line="254" w:lineRule="auto"/>
        <w:rPr>
          <w:sz w:val="20"/>
          <w:szCs w:val="20"/>
          <w:color w:val="auto"/>
        </w:rPr>
      </w:pPr>
      <w:r>
        <w:rPr>
          <w:rFonts w:ascii="Times New Roman" w:cs="Times New Roman" w:eastAsia="Times New Roman" w:hAnsi="Times New Roman"/>
          <w:sz w:val="18"/>
          <w:szCs w:val="18"/>
          <w:color w:val="auto"/>
        </w:rPr>
        <w:t xml:space="preserve">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sz w:val="20"/>
          <w:szCs w:val="20"/>
          <w:color w:val="auto"/>
        </w:rPr>
      </w:pPr>
    </w:p>
    <w:p>
      <w:pPr>
        <w:jc w:val="both"/>
        <w:ind w:right="20" w:firstLine="1176"/>
        <w:spacing w:after="0" w:line="252" w:lineRule="auto"/>
        <w:tabs>
          <w:tab w:leader="none" w:pos="1758"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204" w:lineRule="exact"/>
        <w:rPr>
          <w:sz w:val="20"/>
          <w:szCs w:val="20"/>
          <w:color w:val="auto"/>
        </w:rPr>
      </w:pPr>
    </w:p>
    <w:p>
      <w:pPr>
        <w:jc w:val="both"/>
        <w:ind w:right="20" w:firstLine="1176"/>
        <w:spacing w:after="0" w:line="256" w:lineRule="auto"/>
        <w:tabs>
          <w:tab w:leader="none" w:pos="1442"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010000"/>
        </w:rPr>
      </w:pPr>
    </w:p>
    <w:p>
      <w:pPr>
        <w:jc w:val="both"/>
        <w:ind w:right="20" w:firstLine="1178"/>
        <w:spacing w:after="0" w:line="251"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A notice of the Administrative Agent to any Lender or Issuing Bank with respect to any amount owing under this clause (e)(ii) shall be conclusive, absent manifest error.</w:t>
      </w:r>
    </w:p>
    <w:p>
      <w:pPr>
        <w:spacing w:after="0" w:line="201" w:lineRule="exact"/>
        <w:rPr>
          <w:sz w:val="20"/>
          <w:szCs w:val="20"/>
          <w:color w:val="auto"/>
        </w:rPr>
      </w:pPr>
    </w:p>
    <w:p>
      <w:pPr>
        <w:ind w:right="20" w:firstLine="1176"/>
        <w:spacing w:after="0" w:line="273" w:lineRule="auto"/>
        <w:tabs>
          <w:tab w:leader="none" w:pos="1762"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shall fail to make any payment required to be made by it pursuant to Section 2.05(c), 2.06(d) or (e), 2.07(b), 2.18(e) or 9.03(c), then the Administrative Agent may, in its discretion (notwithstanding any contrary provision hereof), (i) apply any amounts thereafter</w:t>
      </w:r>
    </w:p>
    <w:p>
      <w:pPr>
        <w:sectPr>
          <w:pgSz w:w="11900" w:h="16838" w:orient="portrait"/>
          <w:cols w:equalWidth="0" w:num="1">
            <w:col w:w="11260"/>
          </w:cols>
          <w:pgMar w:left="320" w:top="855" w:right="319" w:bottom="1440" w:gutter="0" w:footer="0" w:header="0"/>
        </w:sectPr>
      </w:pPr>
    </w:p>
    <w:bookmarkStart w:id="141" w:name="page142"/>
    <w:bookmarkEnd w:id="141"/>
    <w:p>
      <w:pPr>
        <w:ind w:firstLine="1178"/>
        <w:spacing w:after="0" w:line="260" w:lineRule="auto"/>
        <w:rPr>
          <w:sz w:val="20"/>
          <w:szCs w:val="20"/>
          <w:color w:val="auto"/>
        </w:rPr>
      </w:pPr>
      <w:r>
        <w:rPr>
          <w:rFonts w:ascii="Times New Roman" w:cs="Times New Roman" w:eastAsia="Times New Roman" w:hAnsi="Times New Roman"/>
          <w:sz w:val="18"/>
          <w:szCs w:val="18"/>
          <w:color w:val="auto"/>
        </w:rPr>
        <w:t>received by the Administrative Agent for the account of such Lender and for the benefit of the Administrative Agent, the Swingline Lender or the Issuing Banks to satisfy such Lender’s obligations under such Sections until all such unsatisfied obligations are fully paid and/or</w:t>
      </w:r>
    </w:p>
    <w:p>
      <w:pPr>
        <w:spacing w:after="0" w:line="1" w:lineRule="exact"/>
        <w:rPr>
          <w:sz w:val="20"/>
          <w:szCs w:val="20"/>
          <w:color w:val="auto"/>
        </w:rPr>
      </w:pPr>
    </w:p>
    <w:p>
      <w:pPr>
        <w:ind w:firstLine="1176"/>
        <w:spacing w:after="0" w:line="252" w:lineRule="auto"/>
        <w:tabs>
          <w:tab w:leader="none" w:pos="14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such amounts in a segregated account as cash collateral for, and application to, any future funding obligations of such Lender under such Sections; in the case of each of (i) and</w:t>
      </w:r>
    </w:p>
    <w:p>
      <w:pPr>
        <w:ind w:left="1440" w:hanging="264"/>
        <w:spacing w:after="0"/>
        <w:tabs>
          <w:tab w:leader="none" w:pos="14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any order as determined by the Administrative Agent in its reasonable discretion.</w:t>
      </w:r>
    </w:p>
    <w:p>
      <w:pPr>
        <w:spacing w:after="0" w:line="209"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2.19. </w:t>
      </w:r>
      <w:r>
        <w:rPr>
          <w:rFonts w:ascii="Times New Roman" w:cs="Times New Roman" w:eastAsia="Times New Roman" w:hAnsi="Times New Roman"/>
          <w:sz w:val="18"/>
          <w:szCs w:val="18"/>
          <w:u w:val="single" w:color="auto"/>
          <w:color w:val="000000"/>
        </w:rPr>
        <w:t>Mitigation Obligations; Replacement of Lenders</w:t>
      </w:r>
      <w:r>
        <w:rPr>
          <w:rFonts w:ascii="Times New Roman" w:cs="Times New Roman" w:eastAsia="Times New Roman" w:hAnsi="Times New Roman"/>
          <w:sz w:val="18"/>
          <w:szCs w:val="18"/>
          <w:color w:val="000000"/>
        </w:rPr>
        <w:t>. (a) If any Lender requests compensation under Section 2.15, or if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85" w:lineRule="exact"/>
        <w:rPr>
          <w:sz w:val="20"/>
          <w:szCs w:val="20"/>
          <w:color w:val="auto"/>
        </w:rPr>
      </w:pPr>
    </w:p>
    <w:p>
      <w:pPr>
        <w:jc w:val="both"/>
        <w:ind w:firstLine="1176"/>
        <w:spacing w:after="0" w:line="253" w:lineRule="auto"/>
        <w:tabs>
          <w:tab w:leader="none" w:pos="1432"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have received the prior written consent of the Administrative Agent (and if a Revolving Commitment is being assigned, the relevant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w:t>
      </w:r>
    </w:p>
    <w:p>
      <w:pPr>
        <w:spacing w:after="0" w:line="201"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010000"/>
        </w:rPr>
        <w:t xml:space="preserve">SECTION 2.20. </w:t>
      </w:r>
      <w:r>
        <w:rPr>
          <w:rFonts w:ascii="Times New Roman" w:cs="Times New Roman" w:eastAsia="Times New Roman" w:hAnsi="Times New Roman"/>
          <w:sz w:val="18"/>
          <w:szCs w:val="18"/>
          <w:u w:val="single" w:color="auto"/>
          <w:color w:val="000000"/>
        </w:rPr>
        <w:t>Expansion Option</w:t>
      </w:r>
      <w:r>
        <w:rPr>
          <w:rFonts w:ascii="Times New Roman" w:cs="Times New Roman" w:eastAsia="Times New Roman" w:hAnsi="Times New Roman"/>
          <w:sz w:val="18"/>
          <w:szCs w:val="18"/>
          <w:color w:val="000000"/>
        </w:rPr>
        <w:t>. The Company may from time to time after the Amendment No. 1 Effective Date elect to increase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Revolving Commitments in minimum increments of $25,000,000 so long as, after giving effect thereto, the aggregate amount of such increases does not exceed $750,000,000. The Company may arrange for any such increase to be provided by one or more Revolving Lenders (each Revolving Lender so agreeing to an increase in its Revolving Commitment, an “</w:t>
      </w:r>
      <w:r>
        <w:rPr>
          <w:rFonts w:ascii="Times New Roman" w:cs="Times New Roman" w:eastAsia="Times New Roman" w:hAnsi="Times New Roman"/>
          <w:sz w:val="18"/>
          <w:szCs w:val="18"/>
          <w:u w:val="single" w:color="auto"/>
          <w:color w:val="000000"/>
        </w:rPr>
        <w:t>Increasing Lender</w:t>
      </w:r>
      <w:r>
        <w:rPr>
          <w:rFonts w:ascii="Times New Roman" w:cs="Times New Roman" w:eastAsia="Times New Roman" w:hAnsi="Times New Roman"/>
          <w:sz w:val="18"/>
          <w:szCs w:val="18"/>
          <w:color w:val="000000"/>
        </w:rPr>
        <w:t>”), or by one or more new banks, financial institutions or other entities (each such new bank, financial institution or other entity, an “</w:t>
      </w:r>
      <w:r>
        <w:rPr>
          <w:rFonts w:ascii="Times New Roman" w:cs="Times New Roman" w:eastAsia="Times New Roman" w:hAnsi="Times New Roman"/>
          <w:sz w:val="18"/>
          <w:szCs w:val="18"/>
          <w:u w:val="single" w:color="auto"/>
          <w:color w:val="000000"/>
        </w:rPr>
        <w:t>Augmenting Lender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Ineligible Institution may be an Augmenting Lender), which agree to increase their existing Revolving Commitments, or provide new Revolving Commitments, as the case may be;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each Augmenting Lender, shall be subject to the approval of the Company and the Administrative Agent and (ii)</w:t>
      </w:r>
    </w:p>
    <w:p>
      <w:pPr>
        <w:spacing w:after="0" w:line="1" w:lineRule="exact"/>
        <w:rPr>
          <w:sz w:val="20"/>
          <w:szCs w:val="20"/>
          <w:color w:val="auto"/>
        </w:rPr>
      </w:pPr>
    </w:p>
    <w:p>
      <w:pPr>
        <w:ind w:firstLine="1176"/>
        <w:spacing w:after="0" w:line="272" w:lineRule="auto"/>
        <w:tabs>
          <w:tab w:leader="none" w:pos="14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Increasing Lender, the Company and such Increasing Lender execute an agreement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hereto, and (y) in the case of an Augmenting</w:t>
      </w:r>
    </w:p>
    <w:p>
      <w:pPr>
        <w:sectPr>
          <w:pgSz w:w="11900" w:h="16838" w:orient="portrait"/>
          <w:cols w:equalWidth="0" w:num="1">
            <w:col w:w="11240"/>
          </w:cols>
          <w:pgMar w:left="320" w:top="855" w:right="339" w:bottom="1440" w:gutter="0" w:footer="0" w:header="0"/>
        </w:sectPr>
      </w:pPr>
    </w:p>
    <w:bookmarkStart w:id="142" w:name="page143"/>
    <w:bookmarkEnd w:id="142"/>
    <w:p>
      <w:pPr>
        <w:ind w:firstLine="1178"/>
        <w:spacing w:after="0" w:line="252" w:lineRule="auto"/>
        <w:rPr>
          <w:sz w:val="20"/>
          <w:szCs w:val="20"/>
          <w:color w:val="auto"/>
        </w:rPr>
      </w:pPr>
      <w:r>
        <w:rPr>
          <w:rFonts w:ascii="Times New Roman" w:cs="Times New Roman" w:eastAsia="Times New Roman" w:hAnsi="Times New Roman"/>
          <w:sz w:val="18"/>
          <w:szCs w:val="18"/>
          <w:color w:val="auto"/>
        </w:rPr>
        <w:t xml:space="preserve">Lender, the Company and such Augmenting Lender execute an agreement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No consent of any Revolving Lender (other than the Revolving Lenders participating in the increase) shall be required for any increase in Revolving Commitments pursuant to this Section 2.20. Increases and new Revolving Commitments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Revolving Commitments (or in the Revolving Commitment of any Revolving Lender) shall become effective under this paragraph unless, (i) on the proposed date of the effectiveness of such increase,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with the covenant contained in Section 6.07 and (ii) the Administrative Agent shall have received documents consistent with those delivered on the Effective Date as to the corporate power and authority of the Borrowers to borrow hereunder after giving effect to such increase. On the effective date of any increase in the Revolving Commitments, (i) each relevant Increasing Lender and Augmenting Lender shall make available to the Administrative Agent such amounts in immediately available funds as the Administrative Agent shall determine, for the benefit of the other Revolving Lenders, as being required in order to cause, after giving effect to such increase and the use of such amounts to make payments to such other Revolving Lenders, each Revolving Lender’s portion of the outstanding Revolving Loans of all the Revolving Lenders to equal its Applicable Percentage of such outstanding Revolving Loans, and</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(ii) the Borrowers shall be deemed to have repaid and reborrowed all outstanding Revolving</w:t>
      </w:r>
    </w:p>
    <w:p>
      <w:pPr>
        <w:spacing w:after="0" w:line="8"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Loans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SOFR Loan and Alternative Currency Term Rate Loan, shall be, unless waived by any Revolving Lender in its reasonable discretion, subject to indemnification by the Borrowers pursuant to the provisions of Section 2.16 if the deemed payment occurs other than on the last day of the related Interest Periods. Nothing contained in this Section 2.20 shall constitute, or otherwise be deemed to be, a commitment on the part of any Revolving Lender to increase its Revolving Commitment hereunder, at any time.</w:t>
      </w:r>
    </w:p>
    <w:p>
      <w:pPr>
        <w:spacing w:after="0" w:line="189" w:lineRule="exact"/>
        <w:rPr>
          <w:sz w:val="20"/>
          <w:szCs w:val="20"/>
          <w:color w:val="auto"/>
        </w:rPr>
      </w:pPr>
    </w:p>
    <w:p>
      <w:pPr>
        <w:jc w:val="center"/>
        <w:ind w:left="1160"/>
        <w:spacing w:after="0"/>
        <w:tabs>
          <w:tab w:leader="none" w:pos="160" w:val="left"/>
        </w:tabs>
        <w:rPr>
          <w:sz w:val="20"/>
          <w:szCs w:val="20"/>
          <w:color w:val="auto"/>
        </w:rPr>
      </w:pPr>
      <w:r>
        <w:rPr>
          <w:rFonts w:ascii="Times New Roman" w:cs="Times New Roman" w:eastAsia="Times New Roman" w:hAnsi="Times New Roman"/>
          <w:sz w:val="18"/>
          <w:szCs w:val="18"/>
          <w:color w:val="010000"/>
        </w:rPr>
        <w:t>SECTION 2.21.</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2.22. </w:t>
      </w:r>
      <w:r>
        <w:rPr>
          <w:rFonts w:ascii="Times New Roman" w:cs="Times New Roman" w:eastAsia="Times New Roman" w:hAnsi="Times New Roman"/>
          <w:sz w:val="18"/>
          <w:szCs w:val="18"/>
          <w:u w:val="single" w:color="auto"/>
          <w:color w:val="000000"/>
        </w:rPr>
        <w:t>Judgment Currency</w:t>
      </w:r>
      <w:r>
        <w:rPr>
          <w:rFonts w:ascii="Times New Roman" w:cs="Times New Roman" w:eastAsia="Times New Roman" w:hAnsi="Times New Roman"/>
          <w:sz w:val="18"/>
          <w:szCs w:val="18"/>
          <w:color w:val="000000"/>
        </w:rPr>
        <w:t>. If for the purposes of obtaining judgment in any court it is necessary to convert a sum due from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Borrower hereunder in the currency expressed to be payable herein (the “</w:t>
      </w:r>
      <w:r>
        <w:rPr>
          <w:rFonts w:ascii="Times New Roman" w:cs="Times New Roman" w:eastAsia="Times New Roman" w:hAnsi="Times New Roman"/>
          <w:sz w:val="18"/>
          <w:szCs w:val="18"/>
          <w:u w:val="single" w:color="auto"/>
          <w:color w:val="000000"/>
        </w:rPr>
        <w:t>specified currency</w:t>
      </w:r>
      <w:r>
        <w:rPr>
          <w:rFonts w:ascii="Times New Roman" w:cs="Times New Roman" w:eastAsia="Times New Roman" w:hAnsi="Times New Roman"/>
          <w:sz w:val="18"/>
          <w:szCs w:val="18"/>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w:t>
      </w:r>
    </w:p>
    <w:p>
      <w:pPr>
        <w:sectPr>
          <w:pgSz w:w="11900" w:h="16838" w:orient="portrait"/>
          <w:cols w:equalWidth="0" w:num="1">
            <w:col w:w="11240"/>
          </w:cols>
          <w:pgMar w:left="320" w:top="855" w:right="339" w:bottom="1440" w:gutter="0" w:footer="0" w:header="0"/>
        </w:sectPr>
      </w:pPr>
    </w:p>
    <w:bookmarkStart w:id="143" w:name="page144"/>
    <w:bookmarkEnd w:id="143"/>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18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2.23. </w:t>
      </w:r>
      <w:r>
        <w:rPr>
          <w:rFonts w:ascii="Times New Roman" w:cs="Times New Roman" w:eastAsia="Times New Roman" w:hAnsi="Times New Roman"/>
          <w:sz w:val="18"/>
          <w:szCs w:val="18"/>
          <w:u w:val="single" w:color="auto"/>
          <w:color w:val="000000"/>
        </w:rPr>
        <w:t>Designation of Foreign Subsidiary Borrowers</w:t>
      </w:r>
      <w:r>
        <w:rPr>
          <w:rFonts w:ascii="Times New Roman" w:cs="Times New Roman" w:eastAsia="Times New Roman" w:hAnsi="Times New Roman"/>
          <w:sz w:val="18"/>
          <w:szCs w:val="18"/>
          <w:color w:val="000000"/>
        </w:rPr>
        <w:t>. The Company may at any time and from time to time designate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spacing w:after="0" w:line="190" w:lineRule="exact"/>
        <w:rPr>
          <w:sz w:val="20"/>
          <w:szCs w:val="20"/>
          <w:color w:val="auto"/>
        </w:rPr>
      </w:pPr>
    </w:p>
    <w:p>
      <w:pPr>
        <w:ind w:left="1180"/>
        <w:spacing w:after="0"/>
        <w:tabs>
          <w:tab w:leader="none" w:pos="2680" w:val="left"/>
        </w:tabs>
        <w:rPr>
          <w:sz w:val="20"/>
          <w:szCs w:val="20"/>
          <w:color w:val="auto"/>
        </w:rPr>
      </w:pPr>
      <w:r>
        <w:rPr>
          <w:rFonts w:ascii="Times New Roman" w:cs="Times New Roman" w:eastAsia="Times New Roman" w:hAnsi="Times New Roman"/>
          <w:sz w:val="18"/>
          <w:szCs w:val="18"/>
          <w:color w:val="010000"/>
        </w:rPr>
        <w:t>SECTION 2.24.</w:t>
      </w:r>
      <w:r>
        <w:rPr>
          <w:sz w:val="20"/>
          <w:szCs w:val="20"/>
          <w:color w:val="auto"/>
        </w:rPr>
        <w:tab/>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221" w:lineRule="exact"/>
        <w:rPr>
          <w:sz w:val="20"/>
          <w:szCs w:val="20"/>
          <w:color w:val="auto"/>
        </w:rPr>
      </w:pPr>
    </w:p>
    <w:p>
      <w:pPr>
        <w:ind w:left="1760" w:hanging="584"/>
        <w:spacing w:after="0"/>
        <w:tabs>
          <w:tab w:leader="none" w:pos="1760"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fees shall cease to accrue on the unfunded portion of the Commitment of such Defaulting Lender pursuant to Section 2.12(a)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2.12(c);</w:t>
      </w:r>
    </w:p>
    <w:p>
      <w:pPr>
        <w:spacing w:after="0" w:line="215" w:lineRule="exact"/>
        <w:rPr>
          <w:sz w:val="20"/>
          <w:szCs w:val="20"/>
          <w:color w:val="auto"/>
        </w:rPr>
      </w:pPr>
    </w:p>
    <w:p>
      <w:pPr>
        <w:jc w:val="both"/>
        <w:ind w:firstLine="1176"/>
        <w:spacing w:after="0" w:line="276" w:lineRule="auto"/>
        <w:tabs>
          <w:tab w:leader="none" w:pos="1756" w:val="left"/>
        </w:tabs>
        <w:numPr>
          <w:ilvl w:val="0"/>
          <w:numId w:val="12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the Commitment and Credit Exposure of such Defaulting Lender shall not be included in determining whether the Required Lenders or the Required Revolving Lenders have taken or may take any action hereunder (including any consent to any amendment, waiver or other modification pursuant to Section 9.02);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80" w:lineRule="exact"/>
        <w:rPr>
          <w:rFonts w:ascii="Times New Roman" w:cs="Times New Roman" w:eastAsia="Times New Roman" w:hAnsi="Times New Roman"/>
          <w:sz w:val="17"/>
          <w:szCs w:val="17"/>
          <w:color w:val="010000"/>
        </w:rPr>
      </w:pPr>
    </w:p>
    <w:p>
      <w:pPr>
        <w:ind w:left="1760" w:hanging="584"/>
        <w:spacing w:after="0"/>
        <w:tabs>
          <w:tab w:leader="none" w:pos="1760"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235" w:lineRule="exact"/>
        <w:rPr>
          <w:sz w:val="20"/>
          <w:szCs w:val="20"/>
          <w:color w:val="auto"/>
        </w:rPr>
      </w:pPr>
    </w:p>
    <w:p>
      <w:pPr>
        <w:jc w:val="both"/>
        <w:ind w:firstLine="1176"/>
        <w:spacing w:after="0" w:line="264" w:lineRule="auto"/>
        <w:tabs>
          <w:tab w:leader="none" w:pos="1765"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or any part of the Swingline Exposure and LC Exposure of such Defaulting Lender shall be reallocated among the non-Defaulting Lenders in accordance with their respective Applicable Percentages but only to the extent the sum of all non-Defaulting Lenders’ Revolving Credit Exposures plus such Defaulting Lender’s</w:t>
      </w:r>
    </w:p>
    <w:p>
      <w:pPr>
        <w:sectPr>
          <w:pgSz w:w="11900" w:h="16838" w:orient="portrait"/>
          <w:cols w:equalWidth="0" w:num="1">
            <w:col w:w="11240"/>
          </w:cols>
          <w:pgMar w:left="320" w:top="855" w:right="339" w:bottom="1440" w:gutter="0" w:footer="0" w:header="0"/>
        </w:sectPr>
      </w:pPr>
    </w:p>
    <w:bookmarkStart w:id="144" w:name="page145"/>
    <w:bookmarkEnd w:id="144"/>
    <w:p>
      <w:pPr>
        <w:ind w:left="1182"/>
        <w:spacing w:after="0"/>
        <w:rPr>
          <w:sz w:val="20"/>
          <w:szCs w:val="20"/>
          <w:color w:val="auto"/>
        </w:rPr>
      </w:pPr>
      <w:r>
        <w:rPr>
          <w:rFonts w:ascii="Times New Roman" w:cs="Times New Roman" w:eastAsia="Times New Roman" w:hAnsi="Times New Roman"/>
          <w:sz w:val="18"/>
          <w:szCs w:val="18"/>
          <w:color w:val="auto"/>
        </w:rPr>
        <w:t>Swingline Exposure and LC Exposure does not exceed the total of all non-Defaulting Lenders’ Revolving Commitments;</w:t>
      </w:r>
    </w:p>
    <w:p>
      <w:pPr>
        <w:spacing w:after="0" w:line="235" w:lineRule="exact"/>
        <w:rPr>
          <w:sz w:val="20"/>
          <w:szCs w:val="20"/>
          <w:color w:val="auto"/>
        </w:rPr>
      </w:pPr>
    </w:p>
    <w:p>
      <w:pPr>
        <w:jc w:val="both"/>
        <w:ind w:left="2" w:firstLine="1176"/>
        <w:spacing w:after="0" w:line="261" w:lineRule="auto"/>
        <w:tabs>
          <w:tab w:leader="none" w:pos="1767"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reallocation described in clause (i) above cannot, or can only partially, be effected, the Company shall within three (3) Business Days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79" w:lineRule="exact"/>
        <w:rPr>
          <w:rFonts w:ascii="Times New Roman" w:cs="Times New Roman" w:eastAsia="Times New Roman" w:hAnsi="Times New Roman"/>
          <w:sz w:val="18"/>
          <w:szCs w:val="18"/>
          <w:color w:val="010000"/>
        </w:rPr>
      </w:pPr>
    </w:p>
    <w:p>
      <w:pPr>
        <w:jc w:val="both"/>
        <w:ind w:left="2" w:firstLine="1176"/>
        <w:spacing w:after="0" w:line="264" w:lineRule="auto"/>
        <w:tabs>
          <w:tab w:leader="none" w:pos="1768"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88" w:lineRule="exact"/>
        <w:rPr>
          <w:rFonts w:ascii="Times New Roman" w:cs="Times New Roman" w:eastAsia="Times New Roman" w:hAnsi="Times New Roman"/>
          <w:sz w:val="18"/>
          <w:szCs w:val="18"/>
          <w:color w:val="010000"/>
        </w:rPr>
      </w:pPr>
    </w:p>
    <w:p>
      <w:pPr>
        <w:ind w:left="2" w:firstLine="1176"/>
        <w:spacing w:after="0" w:line="260" w:lineRule="auto"/>
        <w:tabs>
          <w:tab w:leader="none" w:pos="1758"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 2.12(a) and Section 2.12(b) shall be adjusted in accordance with such non-Defaulting Lenders’</w:t>
      </w:r>
    </w:p>
    <w:p>
      <w:pPr>
        <w:ind w:left="1182"/>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Applicable Percentages; and</w:t>
      </w:r>
    </w:p>
    <w:p>
      <w:pPr>
        <w:spacing w:after="0" w:line="214" w:lineRule="exact"/>
        <w:rPr>
          <w:rFonts w:ascii="Times New Roman" w:cs="Times New Roman" w:eastAsia="Times New Roman" w:hAnsi="Times New Roman"/>
          <w:sz w:val="18"/>
          <w:szCs w:val="18"/>
          <w:color w:val="010000"/>
        </w:rPr>
      </w:pPr>
    </w:p>
    <w:p>
      <w:pPr>
        <w:ind w:left="1762" w:hanging="584"/>
        <w:spacing w:after="0"/>
        <w:tabs>
          <w:tab w:leader="none" w:pos="1762"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w:t>
      </w:r>
    </w:p>
    <w:p>
      <w:pPr>
        <w:spacing w:after="0" w:line="21" w:lineRule="exact"/>
        <w:rPr>
          <w:rFonts w:ascii="Times New Roman" w:cs="Times New Roman" w:eastAsia="Times New Roman" w:hAnsi="Times New Roman"/>
          <w:sz w:val="18"/>
          <w:szCs w:val="18"/>
          <w:color w:val="010000"/>
        </w:rPr>
      </w:pPr>
    </w:p>
    <w:p>
      <w:pPr>
        <w:ind w:left="282" w:hanging="282"/>
        <w:spacing w:after="0"/>
        <w:tabs>
          <w:tab w:leader="none" w:pos="2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relevant Issuing Bank or any other Lender hereunder, all letter of credit fees payable</w:t>
      </w:r>
    </w:p>
    <w:p>
      <w:pPr>
        <w:spacing w:after="0" w:line="7" w:lineRule="exact"/>
        <w:rPr>
          <w:sz w:val="20"/>
          <w:szCs w:val="20"/>
          <w:color w:val="auto"/>
        </w:rPr>
      </w:pPr>
    </w:p>
    <w:p>
      <w:pPr>
        <w:ind w:left="2"/>
        <w:spacing w:after="0" w:line="272" w:lineRule="auto"/>
        <w:rPr>
          <w:sz w:val="20"/>
          <w:szCs w:val="20"/>
          <w:color w:val="auto"/>
        </w:rPr>
      </w:pPr>
      <w:r>
        <w:rPr>
          <w:rFonts w:ascii="Times New Roman" w:cs="Times New Roman" w:eastAsia="Times New Roman" w:hAnsi="Times New Roman"/>
          <w:sz w:val="18"/>
          <w:szCs w:val="18"/>
          <w:color w:val="auto"/>
        </w:rPr>
        <w:t>under Section 2.12(b) with respect to such Defaulting Lender’s LC Exposure shall be payable to such Issuing Bank until and to the extent that such LC Exposure is reallocated and/or cash collateralized; and</w:t>
      </w:r>
    </w:p>
    <w:p>
      <w:pPr>
        <w:spacing w:after="0" w:line="168" w:lineRule="exact"/>
        <w:rPr>
          <w:sz w:val="20"/>
          <w:szCs w:val="20"/>
          <w:color w:val="auto"/>
        </w:rPr>
      </w:pPr>
    </w:p>
    <w:p>
      <w:pPr>
        <w:jc w:val="both"/>
        <w:ind w:left="2" w:firstLine="1176"/>
        <w:spacing w:after="0" w:line="256" w:lineRule="auto"/>
        <w:tabs>
          <w:tab w:leader="none" w:pos="1757"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 long as such Lender is a Defaulting Lender, the Swingline Lender shall not be required to fund any Swingline Loan and the relevant Issuing Bank shall not be required to issue, amend or increase any Letter of Credit, unless the related exposure and the Defaulting Lender’s then outstanding LC Exposure will be 100% covered by the Revolving Commitments of the non-Defaulting Lenders and/or cash collateral will be provided by the Company in accordance with Section 2.24(c), and participating interests in any such newly made Swingline Loan or any newly issued or increased Letter of Credit shall be allocated among non-Defaulting Lenders in a manner consistent with Section 2.24(c)(i) (and such Defaulting Lender shall not participate therein).</w:t>
      </w:r>
    </w:p>
    <w:p>
      <w:pPr>
        <w:spacing w:after="0" w:line="197"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auto"/>
        </w:rPr>
        <w:t>If (i) a Bankruptcy Event or Bail-In Action with respect to a Parent of any Lender shall occur following the Effective Date and for so long as such event shall continue or (ii) the Swingline Lender or any Issuing Bank has a good faith belief that any Lender has defaulted in fulfilling its funding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reasonably satisfactory to the Swingline Lender or such Issuing Bank, as the case may be, to defease any risk to it in respect of such Lender hereunder.</w:t>
      </w:r>
    </w:p>
    <w:p>
      <w:pPr>
        <w:spacing w:after="0" w:line="185"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In the event that the Administrative Agent, the Company, the Swingline Lender and each Issuing Bank each agrees that a Defaulting Lender has adequately remedied all matters that caused such Lender</w:t>
      </w:r>
    </w:p>
    <w:p>
      <w:pPr>
        <w:sectPr>
          <w:pgSz w:w="11900" w:h="16838" w:orient="portrait"/>
          <w:cols w:equalWidth="0" w:num="1">
            <w:col w:w="11242"/>
          </w:cols>
          <w:pgMar w:left="318" w:top="855" w:right="339" w:bottom="1440" w:gutter="0" w:footer="0" w:header="0"/>
        </w:sectPr>
      </w:pPr>
    </w:p>
    <w:bookmarkStart w:id="145" w:name="page146"/>
    <w:bookmarkEnd w:id="145"/>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8"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2.25.</w:t>
      </w:r>
      <w:r>
        <w:rPr>
          <w:sz w:val="20"/>
          <w:szCs w:val="20"/>
          <w:color w:val="auto"/>
        </w:rPr>
        <w:tab/>
      </w:r>
      <w:r>
        <w:rPr>
          <w:rFonts w:ascii="Times New Roman" w:cs="Times New Roman" w:eastAsia="Times New Roman" w:hAnsi="Times New Roman"/>
          <w:sz w:val="17"/>
          <w:szCs w:val="17"/>
          <w:u w:val="single" w:color="auto"/>
          <w:color w:val="auto"/>
        </w:rPr>
        <w:t>Extension of Maturity Date</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jc w:val="both"/>
        <w:ind w:firstLine="1176"/>
        <w:spacing w:after="0" w:line="257" w:lineRule="auto"/>
        <w:tabs>
          <w:tab w:leader="none" w:pos="1758"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The Company may, by notice to the Administrative Agent (who shall promptly notify the Revolving Lenders) not earlier than 60 days and not later than 30 days prior to each anniversary of the Effective Date (each such date, an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request that each Revolving Lender extend such Revolving Lender’s Revolving Credit Maturity Date (the “</w:t>
      </w:r>
      <w:r>
        <w:rPr>
          <w:rFonts w:ascii="Times New Roman" w:cs="Times New Roman" w:eastAsia="Times New Roman" w:hAnsi="Times New Roman"/>
          <w:sz w:val="18"/>
          <w:szCs w:val="18"/>
          <w:u w:val="single" w:color="auto"/>
          <w:color w:val="auto"/>
        </w:rPr>
        <w:t>Applicable Maturity Date</w:t>
      </w:r>
      <w:r>
        <w:rPr>
          <w:rFonts w:ascii="Times New Roman" w:cs="Times New Roman" w:eastAsia="Times New Roman" w:hAnsi="Times New Roman"/>
          <w:sz w:val="18"/>
          <w:szCs w:val="18"/>
          <w:color w:val="auto"/>
        </w:rPr>
        <w:t>”), to the date that is one year after the Applicable Maturity Date then in effect for such Revolving Lender (the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75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Lender Elections to Extend</w:t>
      </w:r>
      <w:r>
        <w:rPr>
          <w:rFonts w:ascii="Times New Roman" w:cs="Times New Roman" w:eastAsia="Times New Roman" w:hAnsi="Times New Roman"/>
          <w:sz w:val="18"/>
          <w:szCs w:val="18"/>
          <w:color w:val="auto"/>
        </w:rPr>
        <w:t>. Each Revolving Lender, acting in its sole and individual discretion, shall, by notice to the Administrative Agent given not later than the date that is 15 days after the date on which the Administrative Agent received the Company’s extension request (the “</w:t>
      </w:r>
      <w:r>
        <w:rPr>
          <w:rFonts w:ascii="Times New Roman" w:cs="Times New Roman" w:eastAsia="Times New Roman" w:hAnsi="Times New Roman"/>
          <w:sz w:val="18"/>
          <w:szCs w:val="18"/>
          <w:u w:val="single" w:color="auto"/>
          <w:color w:val="auto"/>
        </w:rPr>
        <w:t>Lender Notice Date</w:t>
      </w:r>
      <w:r>
        <w:rPr>
          <w:rFonts w:ascii="Times New Roman" w:cs="Times New Roman" w:eastAsia="Times New Roman" w:hAnsi="Times New Roman"/>
          <w:sz w:val="18"/>
          <w:szCs w:val="18"/>
          <w:color w:val="auto"/>
        </w:rPr>
        <w:t>”), advise the Administrative Agent whether or not such Revolving Lender agrees to such extension (each applicable Revolving Lender that determines to so extend its Applicable Maturity Date,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Each Revolving Lender that determines not to so extend its Applicable Maturity Date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shall notify the Administrative Agent of such fact promptly after such determination (but in any event no later than the Lender Notice Date), and any Revolving Lender that does not so advise the Administrative Agent on or before the Lender Notice Date shall be deemed to be a Non-Extending Lender. The election of any Revolving Lender to agree to such extension shall not obligate any other Revolving Lender to so agree, and it is understood and agreed that no Revolving Lender shall have any obligation whatsoever to agree to any request made by the Company for extension of the Applicable Maturity Date.</w:t>
      </w:r>
    </w:p>
    <w:p>
      <w:pPr>
        <w:spacing w:after="0" w:line="188" w:lineRule="exact"/>
        <w:rPr>
          <w:rFonts w:ascii="Times New Roman" w:cs="Times New Roman" w:eastAsia="Times New Roman" w:hAnsi="Times New Roman"/>
          <w:sz w:val="18"/>
          <w:szCs w:val="18"/>
          <w:color w:val="010000"/>
        </w:rPr>
      </w:pPr>
    </w:p>
    <w:p>
      <w:pPr>
        <w:jc w:val="both"/>
        <w:ind w:firstLine="1176"/>
        <w:spacing w:after="0" w:line="271" w:lineRule="auto"/>
        <w:tabs>
          <w:tab w:leader="none" w:pos="1758"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The Administrative Agent shall notify the Company of each applicable Revolving Lender’s determination under this Section no later than the date that is 15 days prior to the applicable Extension Date (or, if such date is not a Business Day, on the next preceding Business Day).</w:t>
      </w:r>
    </w:p>
    <w:p>
      <w:pPr>
        <w:spacing w:after="0" w:line="170" w:lineRule="exact"/>
        <w:rPr>
          <w:rFonts w:ascii="Times New Roman" w:cs="Times New Roman" w:eastAsia="Times New Roman" w:hAnsi="Times New Roman"/>
          <w:sz w:val="18"/>
          <w:szCs w:val="18"/>
          <w:color w:val="010000"/>
        </w:rPr>
      </w:pPr>
    </w:p>
    <w:p>
      <w:pPr>
        <w:jc w:val="both"/>
        <w:ind w:firstLine="1176"/>
        <w:spacing w:after="0" w:line="253" w:lineRule="auto"/>
        <w:tabs>
          <w:tab w:leader="none" w:pos="175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Commitment Lenders</w:t>
      </w:r>
      <w:r>
        <w:rPr>
          <w:rFonts w:ascii="Times New Roman" w:cs="Times New Roman" w:eastAsia="Times New Roman" w:hAnsi="Times New Roman"/>
          <w:sz w:val="18"/>
          <w:szCs w:val="18"/>
          <w:color w:val="auto"/>
        </w:rPr>
        <w:t>. The Company shall have the right, but shall not be obligated, on or before the Applicable Maturity Date for any Non-Extending Lender to replace such Non-Extending Lender with, and add as a “Revolving Lender” under this Agreement in place thereof, one or more banks, financial institutions or other entities (each, an “</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approved by the Administrative Agent in accordance with the procedures provided in Section 2.19(b), each of which applicable Additional Commitment Lenders shall have entered into an Assignment and Assumption (in accordance with and subject to the restrictions contained in Section 9.04, with the Company or replacement Revolving Lender obligated to pay any applicable processing or recordation fee) with such Non-Extending Lender, pursuant to which such Additional Commitment Lenders shall, effective on or before the Applicable Maturity Date for such Non-Extending Lender, assume a Revolving Commitment (and, if any such Additional Commitment Lender is already a Revolving Lender, its Commitment shall be in addition to such Revolving Lender’s Revolving Commitment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w:t>
      </w:r>
    </w:p>
    <w:p>
      <w:pPr>
        <w:sectPr>
          <w:pgSz w:w="11900" w:h="16838" w:orient="portrait"/>
          <w:cols w:equalWidth="0" w:num="1">
            <w:col w:w="11240"/>
          </w:cols>
          <w:pgMar w:left="320" w:top="855" w:right="339" w:bottom="1440" w:gutter="0" w:footer="0" w:header="0"/>
        </w:sectPr>
      </w:pPr>
    </w:p>
    <w:bookmarkStart w:id="146" w:name="page147"/>
    <w:bookmarkEnd w:id="146"/>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forth such Revolving Lender’s new Applicable Maturity Date), to become an Extending Lender. The Administrative Agent may effect such amendments to this Agreement as are reasonably necessary to provide for any such extensions with the consent of the Company but without the consent of any other Lenders.</w:t>
      </w:r>
    </w:p>
    <w:p>
      <w:pPr>
        <w:spacing w:after="0" w:line="188" w:lineRule="exact"/>
        <w:rPr>
          <w:sz w:val="20"/>
          <w:szCs w:val="20"/>
          <w:color w:val="auto"/>
        </w:rPr>
      </w:pPr>
    </w:p>
    <w:p>
      <w:pPr>
        <w:ind w:left="2340" w:hanging="575"/>
        <w:spacing w:after="0"/>
        <w:tabs>
          <w:tab w:leader="none" w:pos="2340"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[Intentionally Omitted].</w:t>
      </w:r>
    </w:p>
    <w:p>
      <w:pPr>
        <w:spacing w:after="0" w:line="234"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62"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Conditions to Effectiveness of Extension</w:t>
      </w:r>
      <w:r>
        <w:rPr>
          <w:rFonts w:ascii="Times New Roman" w:cs="Times New Roman" w:eastAsia="Times New Roman" w:hAnsi="Times New Roman"/>
          <w:sz w:val="18"/>
          <w:szCs w:val="18"/>
          <w:color w:val="auto"/>
        </w:rPr>
        <w:t>. Notwithstanding the foregoing, (x) no more than two (2) extensions of each Maturity Date shall be permitted hereunder and (y) any extension of any Maturity Date pursuant to this Section 2.25 shall not be effective with respect to any Extending Lender unless:</w:t>
      </w:r>
    </w:p>
    <w:p>
      <w:pPr>
        <w:spacing w:after="0" w:line="176" w:lineRule="exact"/>
        <w:rPr>
          <w:sz w:val="20"/>
          <w:szCs w:val="20"/>
          <w:color w:val="auto"/>
        </w:rPr>
      </w:pPr>
    </w:p>
    <w:p>
      <w:pPr>
        <w:ind w:left="1760" w:hanging="584"/>
        <w:spacing w:after="0"/>
        <w:tabs>
          <w:tab w:leader="none" w:pos="176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Default or Event of Default shall have occurred and be continuing on the applicable Extension Date and immediately after</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giving effect thereto;</w:t>
      </w:r>
    </w:p>
    <w:p>
      <w:pPr>
        <w:spacing w:after="0" w:line="221" w:lineRule="exact"/>
        <w:rPr>
          <w:rFonts w:ascii="Times New Roman" w:cs="Times New Roman" w:eastAsia="Times New Roman" w:hAnsi="Times New Roman"/>
          <w:sz w:val="18"/>
          <w:szCs w:val="18"/>
          <w:color w:val="010000"/>
        </w:rPr>
      </w:pPr>
    </w:p>
    <w:p>
      <w:pPr>
        <w:jc w:val="both"/>
        <w:ind w:firstLine="1176"/>
        <w:spacing w:after="0" w:line="257" w:lineRule="auto"/>
        <w:tabs>
          <w:tab w:leader="none" w:pos="1766"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of the Company set forth in this Agreement are true and correct in all material respects (or in all respects if such representation is qualified by materiality or Material Adverse Effect) on and as of the applicable Extension Date and after giving effect thereto, as though made on and as of such date (or, if any such representation or warranty is expressly stated to have been made as of a specific date, as of such specific date); and</w:t>
      </w:r>
    </w:p>
    <w:p>
      <w:pPr>
        <w:spacing w:after="0" w:line="193"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66"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certificate from the Company signed by a Financial Officer of the Company (A) certifying the accuracy of the foregoing clauses (i) and (ii) and (B) certifying and attaching the resolutions, if any are otherwise required, adopted by each Borrower approving or consenting to such extension.</w:t>
      </w:r>
    </w:p>
    <w:p>
      <w:pPr>
        <w:spacing w:after="0" w:line="188" w:lineRule="exact"/>
        <w:rPr>
          <w:sz w:val="20"/>
          <w:szCs w:val="20"/>
          <w:color w:val="auto"/>
        </w:rPr>
      </w:pPr>
    </w:p>
    <w:p>
      <w:pPr>
        <w:jc w:val="both"/>
        <w:ind w:firstLine="1176"/>
        <w:spacing w:after="0" w:line="254" w:lineRule="auto"/>
        <w:tabs>
          <w:tab w:leader="none" w:pos="1756"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Maturity Date for Non-Extending Lenders</w:t>
      </w:r>
      <w:r>
        <w:rPr>
          <w:rFonts w:ascii="Times New Roman" w:cs="Times New Roman" w:eastAsia="Times New Roman" w:hAnsi="Times New Roman"/>
          <w:sz w:val="18"/>
          <w:szCs w:val="18"/>
          <w:color w:val="auto"/>
        </w:rPr>
        <w:t>. On each Existing Maturity Date applicable to such Revolving Lender, (i) to the extent of the Commitments and Loans of each Non-Extending Lender not assigned to the Additional Commitment Lenders, the Commitment of each Non-Extending Lender shall automatically terminate and (ii) the Company shall repay such Non-Extending Lender in accordance with Section 2.10 (and shall pay to such Non-Extending Lender all of the other Obligations owing to it under this Agreement) and after giving effect thereto shall prepay any Loans outstanding on such date (and pay any additional amounts required pursuant to Section 2.16) to the extent necessary to keep outstanding Loans ratable with any revised Applicable Percentages of the respective Revolving Lenders effective as of such date, and the Administrative Agent shall administer any necessary reallocation of the applicable Credit Exposures (without regard to any minimum borrowing, pro rata borrowing and/or pro rata payment requirements contained elsewhere in this Agreement).</w:t>
      </w:r>
    </w:p>
    <w:p>
      <w:pPr>
        <w:spacing w:after="0" w:line="186" w:lineRule="exact"/>
        <w:rPr>
          <w:sz w:val="20"/>
          <w:szCs w:val="20"/>
          <w:color w:val="auto"/>
        </w:rPr>
      </w:pPr>
    </w:p>
    <w:p>
      <w:pPr>
        <w:ind w:left="1180" w:right="3280" w:firstLine="585"/>
        <w:spacing w:after="0" w:line="287" w:lineRule="auto"/>
        <w:tabs>
          <w:tab w:leader="none" w:pos="2347"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This Section shall supersede any provisions in Section 2.18 or Section 9.02 to the contrary.</w:t>
      </w:r>
    </w:p>
    <w:p>
      <w:pPr>
        <w:spacing w:after="0" w:line="168"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2.26.</w:t>
      </w:r>
      <w:r>
        <w:rPr>
          <w:sz w:val="20"/>
          <w:szCs w:val="20"/>
          <w:color w:val="auto"/>
        </w:rPr>
        <w:tab/>
      </w:r>
      <w:r>
        <w:rPr>
          <w:rFonts w:ascii="Times New Roman" w:cs="Times New Roman" w:eastAsia="Times New Roman" w:hAnsi="Times New Roman"/>
          <w:sz w:val="17"/>
          <w:szCs w:val="17"/>
          <w:u w:val="single" w:color="auto"/>
          <w:color w:val="auto"/>
        </w:rPr>
        <w:t>Sustainability Adjustments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176"/>
        <w:spacing w:after="0" w:line="262" w:lineRule="auto"/>
        <w:tabs>
          <w:tab w:leader="none" w:pos="17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ESG 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After the Effective Date, the Company, in consultation with the Sustainability Agent, shall be entitled to establish specified key performance indicators (“</w:t>
      </w:r>
      <w:r>
        <w:rPr>
          <w:rFonts w:ascii="Times New Roman" w:cs="Times New Roman" w:eastAsia="Times New Roman" w:hAnsi="Times New Roman"/>
          <w:sz w:val="18"/>
          <w:szCs w:val="18"/>
          <w:u w:val="single" w:color="auto"/>
          <w:color w:val="auto"/>
        </w:rPr>
        <w:t>KPIs</w:t>
      </w:r>
      <w:r>
        <w:rPr>
          <w:rFonts w:ascii="Times New Roman" w:cs="Times New Roman" w:eastAsia="Times New Roman" w:hAnsi="Times New Roman"/>
          <w:sz w:val="18"/>
          <w:szCs w:val="18"/>
          <w:color w:val="auto"/>
        </w:rPr>
        <w:t>”) with respect to certain environmental, social and governance (“</w:t>
      </w:r>
      <w:r>
        <w:rPr>
          <w:rFonts w:ascii="Times New Roman" w:cs="Times New Roman" w:eastAsia="Times New Roman" w:hAnsi="Times New Roman"/>
          <w:sz w:val="18"/>
          <w:szCs w:val="18"/>
          <w:u w:val="single" w:color="auto"/>
          <w:color w:val="auto"/>
        </w:rPr>
        <w:t>ESG</w:t>
      </w:r>
      <w:r>
        <w:rPr>
          <w:rFonts w:ascii="Times New Roman" w:cs="Times New Roman" w:eastAsia="Times New Roman" w:hAnsi="Times New Roman"/>
          <w:sz w:val="18"/>
          <w:szCs w:val="18"/>
          <w:color w:val="auto"/>
        </w:rPr>
        <w:t>”) targets of the Company and its Subsidiaries with such KPIs and ESG targets being reasonably aligned with the Sustainability Linked Loan Principles. The Sustainability Agent and the Company may amend this Agreement (such</w:t>
      </w:r>
    </w:p>
    <w:p>
      <w:pPr>
        <w:sectPr>
          <w:pgSz w:w="11900" w:h="16838" w:orient="portrait"/>
          <w:cols w:equalWidth="0" w:num="1">
            <w:col w:w="11240"/>
          </w:cols>
          <w:pgMar w:left="320" w:top="855" w:right="339" w:bottom="1440" w:gutter="0" w:footer="0" w:header="0"/>
        </w:sectPr>
      </w:pPr>
    </w:p>
    <w:bookmarkStart w:id="147" w:name="page148"/>
    <w:bookmarkEnd w:id="147"/>
    <w:p>
      <w:pPr>
        <w:jc w:val="both"/>
        <w:ind w:firstLine="1178"/>
        <w:spacing w:after="0" w:line="252" w:lineRule="auto"/>
        <w:rPr>
          <w:sz w:val="20"/>
          <w:szCs w:val="20"/>
          <w:color w:val="auto"/>
        </w:rPr>
      </w:pPr>
      <w:r>
        <w:rPr>
          <w:rFonts w:ascii="Times New Roman" w:cs="Times New Roman" w:eastAsia="Times New Roman" w:hAnsi="Times New Roman"/>
          <w:sz w:val="18"/>
          <w:szCs w:val="18"/>
          <w:color w:val="auto"/>
        </w:rPr>
        <w:t>amendment, the “</w:t>
      </w:r>
      <w:r>
        <w:rPr>
          <w:rFonts w:ascii="Times New Roman" w:cs="Times New Roman" w:eastAsia="Times New Roman" w:hAnsi="Times New Roman"/>
          <w:sz w:val="18"/>
          <w:szCs w:val="18"/>
          <w:u w:val="single" w:color="auto"/>
          <w:color w:val="auto"/>
        </w:rPr>
        <w:t>ESG Amendment</w:t>
      </w:r>
      <w:r>
        <w:rPr>
          <w:rFonts w:ascii="Times New Roman" w:cs="Times New Roman" w:eastAsia="Times New Roman" w:hAnsi="Times New Roman"/>
          <w:sz w:val="18"/>
          <w:szCs w:val="18"/>
          <w:color w:val="auto"/>
        </w:rPr>
        <w:t>”), solely for the purpose of incorporating the KPIs and other related provisions (the “</w:t>
      </w:r>
      <w:r>
        <w:rPr>
          <w:rFonts w:ascii="Times New Roman" w:cs="Times New Roman" w:eastAsia="Times New Roman" w:hAnsi="Times New Roman"/>
          <w:sz w:val="18"/>
          <w:szCs w:val="18"/>
          <w:u w:val="single" w:color="auto"/>
          <w:color w:val="auto"/>
        </w:rPr>
        <w:t>ESG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Provisions</w:t>
      </w:r>
      <w:r>
        <w:rPr>
          <w:rFonts w:ascii="Times New Roman" w:cs="Times New Roman" w:eastAsia="Times New Roman" w:hAnsi="Times New Roman"/>
          <w:sz w:val="18"/>
          <w:szCs w:val="18"/>
          <w:color w:val="auto"/>
        </w:rPr>
        <w:t xml:space="preserve">”) into this Agreement, with the consent of the Administrative Agent, the Company and Lenders constituting the Required Lenders. In the event that Required Lenders do not consent to any such ESG Amendment, an alternative ESG Amendment may be proposed and effectuated, subject to the consents required pursuant to the immediately preceding sentence. Upon the effectiveness of any such ESG Amendment, based on the Company’s performance against the KPIs, certain adjustments (increase, decrease or no adjustment) to the otherwise applicable facility fee payable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2.12(a)</w:t>
      </w:r>
      <w:r>
        <w:rPr>
          <w:rFonts w:ascii="Times New Roman" w:cs="Times New Roman" w:eastAsia="Times New Roman" w:hAnsi="Times New Roman"/>
          <w:sz w:val="18"/>
          <w:szCs w:val="18"/>
          <w:color w:val="auto"/>
        </w:rPr>
        <w:t xml:space="preserve">, Applicable Rate for Term SOFR Loans, Alternative Currency Loans, Letters of Credit and Applicable Rate for Alternate Base Rate Loans will be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adjustments shall not exceed in the case of (i) the facility fee payable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 increase and/or decrease of 0.01%, (ii) the Revolving Loans, Swingline Loans and Letters of Credit, the Applicable Rate for Term SOFR Loans, Alternative Currency Loans and Applicable Rate for ABR Loans, an increase and/or decrease of 0.04%, and the adjustments to the Applicable Rate for ABR Loans shall be the same amount, in basis points, as the adjustments to the Applicable Rate for Term SOFR Loans and Alternative Currency Loans and (iii) the Delayed Draw Term Loans, the Applicable Rate for Term SOFR Loans and the Applicable Rate for ABR Loans, an increase and/or decrease of 0.05%, and the adjustments to the Applicable Rate for Term SOFR Loans shall be the same amount, in basis points, as the Applicable Rate for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that in no event shall the Applicable Rate for Term SOFR Loans or ABR Loans be less than zero. The pricing adjustments pursuant to the KPIs will require, among other things, reporting and validation of the measurement of the KPIs in a manner that is aligned with the Sustainability Linked Loan Principles and is to be agreed between the Company and the Sustainability Agent (all acting reasonably). The ESG Amendment will not impose any requirement on the Sustainability Agent to assess, monitor, report and/or validate the KPIs. Following the effectiveness of the ESG Amendment:</w:t>
      </w:r>
    </w:p>
    <w:p>
      <w:pPr>
        <w:spacing w:after="0" w:line="195" w:lineRule="exact"/>
        <w:rPr>
          <w:sz w:val="20"/>
          <w:szCs w:val="20"/>
          <w:color w:val="auto"/>
        </w:rPr>
      </w:pPr>
    </w:p>
    <w:p>
      <w:pPr>
        <w:jc w:val="both"/>
        <w:ind w:firstLine="1176"/>
        <w:spacing w:after="0" w:line="271" w:lineRule="auto"/>
        <w:tabs>
          <w:tab w:leader="none" w:pos="17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to the ESG Pricing Provisions which has the effect of increasing or reducing the facility fee payable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Applicable Rate for Term SOFR Loans, Alternative Currency Loans and Applicable Rate for ABR Loans to a level not otherwise permitted by this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 xml:space="preserve"> shall be subject to the consent of all Lenders; and</w:t>
      </w:r>
    </w:p>
    <w:p>
      <w:pPr>
        <w:spacing w:after="0" w:line="170" w:lineRule="exact"/>
        <w:rPr>
          <w:rFonts w:ascii="Times New Roman" w:cs="Times New Roman" w:eastAsia="Times New Roman" w:hAnsi="Times New Roman"/>
          <w:sz w:val="18"/>
          <w:szCs w:val="18"/>
          <w:color w:val="auto"/>
        </w:rPr>
      </w:pPr>
    </w:p>
    <w:p>
      <w:pPr>
        <w:ind w:firstLine="1176"/>
        <w:spacing w:after="0" w:line="287" w:lineRule="auto"/>
        <w:tabs>
          <w:tab w:leader="none" w:pos="17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modification to the ESG Pricing Provisions (other than as provided for in </w:t>
      </w:r>
      <w:r>
        <w:rPr>
          <w:rFonts w:ascii="Times New Roman" w:cs="Times New Roman" w:eastAsia="Times New Roman" w:hAnsi="Times New Roman"/>
          <w:sz w:val="18"/>
          <w:szCs w:val="18"/>
          <w:u w:val="single" w:color="auto"/>
          <w:color w:val="auto"/>
        </w:rPr>
        <w:t>Section 2.26(a)(i)</w:t>
      </w:r>
      <w:r>
        <w:rPr>
          <w:rFonts w:ascii="Times New Roman" w:cs="Times New Roman" w:eastAsia="Times New Roman" w:hAnsi="Times New Roman"/>
          <w:sz w:val="18"/>
          <w:szCs w:val="18"/>
          <w:color w:val="auto"/>
        </w:rPr>
        <w:t xml:space="preserve"> above) shall be subject only to the consent of the Required Lenders.</w:t>
      </w:r>
    </w:p>
    <w:p>
      <w:pPr>
        <w:spacing w:after="0" w:line="153" w:lineRule="exact"/>
        <w:rPr>
          <w:sz w:val="20"/>
          <w:szCs w:val="20"/>
          <w:color w:val="auto"/>
        </w:rPr>
      </w:pPr>
    </w:p>
    <w:p>
      <w:pPr>
        <w:jc w:val="both"/>
        <w:ind w:firstLine="1176"/>
        <w:spacing w:after="0" w:line="257" w:lineRule="auto"/>
        <w:tabs>
          <w:tab w:leader="none" w:pos="17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Sustainability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Sustainability Agent will assist the Company in (i) determining the ESG Pricing Provisions in connection with any ESG Amendment and (ii) preparing informational materials focused on ESG to be used in connection with the ESG Amendment. In connection with the foregoing, the Company shall furnish the Sustainability Agent with information relevant to any proposed ESG Amendment as the Sustainability Agent may reasonably request in order to perform the services contemplated in its role as such. It is understood and agreed that the use of the term “agent” herein or in any other Loan Documents (or any other similar term) with reference to the Sustainability Agent is not intended to connote any fiduciary or other implied (or express) obligations arising under agency doctrine of any applicable law. Instead such term is used as a matter of custom, and is intended to create or reflect only an administrative relationship between contracting parties.</w:t>
      </w:r>
    </w:p>
    <w:p>
      <w:pPr>
        <w:spacing w:after="0" w:line="178"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w:t>
      </w:r>
    </w:p>
    <w:p>
      <w:pPr>
        <w:sectPr>
          <w:pgSz w:w="11900" w:h="16838" w:orient="portrait"/>
          <w:cols w:equalWidth="0" w:num="1">
            <w:col w:w="11240"/>
          </w:cols>
          <w:pgMar w:left="320" w:top="855" w:right="339" w:bottom="1440" w:gutter="0" w:footer="0" w:header="0"/>
        </w:sectPr>
      </w:pPr>
    </w:p>
    <w:bookmarkStart w:id="148" w:name="page149"/>
    <w:bookmarkEnd w:id="148"/>
    <w:p>
      <w:pPr>
        <w:jc w:val="center"/>
        <w:ind w:left="1160"/>
        <w:spacing w:after="0"/>
        <w:rPr>
          <w:sz w:val="20"/>
          <w:szCs w:val="20"/>
          <w:color w:val="auto"/>
        </w:rPr>
      </w:pPr>
      <w:r>
        <w:rPr>
          <w:rFonts w:ascii="Times New Roman" w:cs="Times New Roman" w:eastAsia="Times New Roman" w:hAnsi="Times New Roman"/>
          <w:sz w:val="18"/>
          <w:szCs w:val="18"/>
          <w:color w:val="010000"/>
        </w:rPr>
        <w:t>ARTICLE III</w:t>
      </w:r>
    </w:p>
    <w:p>
      <w:pPr>
        <w:spacing w:after="0" w:line="235"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2"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8"/>
          <w:szCs w:val="18"/>
          <w:color w:val="auto"/>
        </w:rPr>
        <w:t>Each Borrower represents and warrants to the Lenders on the Effective Date and each other date a Loan is made (excluding the conversion or continuation of any Loan) or Letter of Credit is issued pursuant to Section 4.02 that:</w:t>
      </w:r>
    </w:p>
    <w:p>
      <w:pPr>
        <w:spacing w:after="0" w:line="168"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u w:val="single" w:color="auto"/>
          <w:color w:val="000000"/>
        </w:rPr>
        <w:t>Organization; Powers; Subsidiaries</w:t>
      </w:r>
      <w:r>
        <w:rPr>
          <w:rFonts w:ascii="Times New Roman" w:cs="Times New Roman" w:eastAsia="Times New Roman" w:hAnsi="Times New Roman"/>
          <w:sz w:val="18"/>
          <w:szCs w:val="18"/>
          <w:color w:val="000000"/>
        </w:rPr>
        <w:t>. (a) Each of the Company and its Significant Subsidiaries is duly organized, validly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(to the extent such concept is applicable) in, every jurisdiction where such qualification is required.</w:t>
      </w:r>
    </w:p>
    <w:p>
      <w:pPr>
        <w:spacing w:after="0" w:line="197" w:lineRule="exact"/>
        <w:rPr>
          <w:sz w:val="20"/>
          <w:szCs w:val="20"/>
          <w:color w:val="auto"/>
        </w:rPr>
      </w:pPr>
    </w:p>
    <w:p>
      <w:pPr>
        <w:jc w:val="both"/>
        <w:ind w:firstLine="1176"/>
        <w:spacing w:after="0" w:line="257" w:lineRule="auto"/>
        <w:tabs>
          <w:tab w:leader="none" w:pos="1494"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Foreign Subsidiary Borrower organized under the laws of Luxembourg, (i) the central administration (</w:t>
      </w:r>
      <w:r>
        <w:rPr>
          <w:rFonts w:ascii="Times New Roman" w:cs="Times New Roman" w:eastAsia="Times New Roman" w:hAnsi="Times New Roman"/>
          <w:sz w:val="18"/>
          <w:szCs w:val="18"/>
          <w:i w:val="1"/>
          <w:iCs w:val="1"/>
          <w:color w:val="auto"/>
        </w:rPr>
        <w:t>administration centrale</w:t>
      </w:r>
      <w:r>
        <w:rPr>
          <w:rFonts w:ascii="Times New Roman" w:cs="Times New Roman" w:eastAsia="Times New Roman" w:hAnsi="Times New Roman"/>
          <w:sz w:val="18"/>
          <w:szCs w:val="18"/>
          <w:color w:val="auto"/>
        </w:rPr>
        <w:t>) and the “centre of main interests” (as that term is used in the Council Regulation (EC) n°1346/2000 of May 29, 2000 on insolvency proceedings) of such Foreign Subsidiary Borrower is in Luxembourg and (ii) such Foreign Subsidiary Borrower has no “establishment” (as that term is used in the Council Regulation (EC) n°1346/2000 of May 29, 2000 on insolvency proceedings) outside Luxembourg.</w:t>
      </w:r>
    </w:p>
    <w:p>
      <w:pPr>
        <w:spacing w:after="0" w:line="193"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3.02. </w:t>
      </w:r>
      <w:r>
        <w:rPr>
          <w:rFonts w:ascii="Times New Roman" w:cs="Times New Roman" w:eastAsia="Times New Roman" w:hAnsi="Times New Roman"/>
          <w:sz w:val="18"/>
          <w:szCs w:val="18"/>
          <w:u w:val="single" w:color="auto"/>
          <w:color w:val="000000"/>
        </w:rPr>
        <w:t>Authorization; Enforceability</w:t>
      </w:r>
      <w:r>
        <w:rPr>
          <w:rFonts w:ascii="Times New Roman" w:cs="Times New Roman" w:eastAsia="Times New Roman" w:hAnsi="Times New Roman"/>
          <w:sz w:val="18"/>
          <w:szCs w:val="18"/>
          <w:color w:val="000000"/>
        </w:rPr>
        <w:t>. The Transactions are within each Borrower’s organizational powers and have been duly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authorized by all necessary organizational actions and, if required, actions by equity holders. Each Loan Document has been duly executed and delivered by each Borrower which is a party thereto and constitutes a legal, valid and binding obligation of such Borrower, enforceable in accordance with its terms, subject to applicable bankruptcy, insolvency, reorganization, liquidation, reconstruction, moratorium or other laws affecting creditors’ rights generally and subject to general principles of equity, regardless of whether considered in a proceeding in equity or at law and except to the extent that availability of the remedy of specific performance or injunctive relief is subject to the discretion of the court before which any proceeding therefor may be brought.</w:t>
      </w:r>
    </w:p>
    <w:p>
      <w:pPr>
        <w:spacing w:after="0" w:line="197"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010000"/>
        </w:rPr>
        <w:t xml:space="preserve">SECTION 3.03. </w:t>
      </w:r>
      <w:r>
        <w:rPr>
          <w:rFonts w:ascii="Times New Roman" w:cs="Times New Roman" w:eastAsia="Times New Roman" w:hAnsi="Times New Roman"/>
          <w:sz w:val="18"/>
          <w:szCs w:val="18"/>
          <w:u w:val="single" w:color="auto"/>
          <w:color w:val="000000"/>
        </w:rPr>
        <w:t>Governmental Approvals; No Conflicts</w:t>
      </w:r>
      <w:r>
        <w:rPr>
          <w:rFonts w:ascii="Times New Roman" w:cs="Times New Roman" w:eastAsia="Times New Roman" w:hAnsi="Times New Roman"/>
          <w:sz w:val="18"/>
          <w:szCs w:val="18"/>
          <w:color w:val="000000"/>
        </w:rPr>
        <w:t>. The Transactions (a) do not require any consent or approval of, registration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filing with, or any other action by, any Governmental Authority, except such as have been obtained or made and are in full force and effect, (b) will not violate any applicable law or regulation or the charter, by-laws or other organizational documents of the Company or any other Borrower or any order of any Governmental Authority, (c) will not violate or result in a default under any indenture or any material agreement or other material instrument binding upon the Company or its assets and</w:t>
      </w:r>
    </w:p>
    <w:p>
      <w:pPr>
        <w:spacing w:after="0" w:line="1" w:lineRule="exact"/>
        <w:rPr>
          <w:sz w:val="20"/>
          <w:szCs w:val="20"/>
          <w:color w:val="auto"/>
        </w:rPr>
      </w:pPr>
    </w:p>
    <w:p>
      <w:pPr>
        <w:ind w:firstLine="1176"/>
        <w:spacing w:after="0" w:line="264" w:lineRule="auto"/>
        <w:tabs>
          <w:tab w:leader="none" w:pos="175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result in the creation or imposition of any Lien on any asset of the Company or any of its Subsidiaries, that, in the case of clauses (c) and (d), would in the aggregate reasonably be expected to result in a Material Adverse Effect.</w:t>
      </w:r>
    </w:p>
    <w:p>
      <w:pPr>
        <w:spacing w:after="0" w:line="187" w:lineRule="exact"/>
        <w:rPr>
          <w:sz w:val="20"/>
          <w:szCs w:val="20"/>
          <w:color w:val="auto"/>
        </w:rPr>
      </w:pPr>
    </w:p>
    <w:p>
      <w:pPr>
        <w:jc w:val="both"/>
        <w:ind w:firstLine="1178"/>
        <w:spacing w:after="0" w:line="287" w:lineRule="auto"/>
        <w:rPr>
          <w:sz w:val="20"/>
          <w:szCs w:val="20"/>
          <w:color w:val="auto"/>
        </w:rPr>
      </w:pPr>
      <w:r>
        <w:rPr>
          <w:rFonts w:ascii="Times New Roman" w:cs="Times New Roman" w:eastAsia="Times New Roman" w:hAnsi="Times New Roman"/>
          <w:sz w:val="17"/>
          <w:szCs w:val="17"/>
          <w:color w:val="010000"/>
        </w:rPr>
        <w:t xml:space="preserve">SECTION 3.04. </w:t>
      </w:r>
      <w:r>
        <w:rPr>
          <w:rFonts w:ascii="Times New Roman" w:cs="Times New Roman" w:eastAsia="Times New Roman" w:hAnsi="Times New Roman"/>
          <w:sz w:val="17"/>
          <w:szCs w:val="17"/>
          <w:u w:val="single" w:color="auto"/>
          <w:color w:val="000000"/>
        </w:rPr>
        <w:t>Financial Condition; No Material Adverse Change</w:t>
      </w:r>
      <w:r>
        <w:rPr>
          <w:rFonts w:ascii="Times New Roman" w:cs="Times New Roman" w:eastAsia="Times New Roman" w:hAnsi="Times New Roman"/>
          <w:sz w:val="17"/>
          <w:szCs w:val="17"/>
          <w:color w:val="000000"/>
        </w:rPr>
        <w:t>. (a) The Company has heretofore furnished to the Lenders its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consolidated balance sheet and statements of income, stockholders equity and cash flows (i) as of and for the Fiscal Year ended July 3, 2021, reported on by Deloitte &amp; Touche, LLP, independent public accountants, and (ii) as of and for the Fiscal Quarters ended October 2, 2021 and January 1, 2022, in each case,</w:t>
      </w:r>
    </w:p>
    <w:p>
      <w:pPr>
        <w:sectPr>
          <w:pgSz w:w="11900" w:h="16838" w:orient="portrait"/>
          <w:cols w:equalWidth="0" w:num="1">
            <w:col w:w="11240"/>
          </w:cols>
          <w:pgMar w:left="320" w:top="634" w:right="339" w:bottom="1440" w:gutter="0" w:footer="0" w:header="0"/>
        </w:sectPr>
      </w:pPr>
    </w:p>
    <w:bookmarkStart w:id="149" w:name="page150"/>
    <w:bookmarkEnd w:id="149"/>
    <w:p>
      <w:pPr>
        <w:jc w:val="both"/>
        <w:ind w:left="2" w:firstLine="1178"/>
        <w:spacing w:after="0" w:line="264" w:lineRule="auto"/>
        <w:rPr>
          <w:sz w:val="20"/>
          <w:szCs w:val="20"/>
          <w:color w:val="auto"/>
        </w:rPr>
      </w:pPr>
      <w:r>
        <w:rPr>
          <w:rFonts w:ascii="Times New Roman" w:cs="Times New Roman" w:eastAsia="Times New Roman" w:hAnsi="Times New Roman"/>
          <w:sz w:val="18"/>
          <w:szCs w:val="18"/>
          <w:color w:val="auto"/>
        </w:rPr>
        <w:t>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188" w:lineRule="exact"/>
        <w:rPr>
          <w:sz w:val="20"/>
          <w:szCs w:val="20"/>
          <w:color w:val="auto"/>
        </w:rPr>
      </w:pPr>
    </w:p>
    <w:p>
      <w:pPr>
        <w:ind w:left="2" w:firstLine="1176"/>
        <w:spacing w:after="0" w:line="287" w:lineRule="auto"/>
        <w:tabs>
          <w:tab w:leader="none" w:pos="1459"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July 3, 2021, there has been no material adverse change in the business, operations, property or financial condition of the Company and its Subsidiaries, taken as a whole.</w:t>
      </w:r>
    </w:p>
    <w:p>
      <w:pPr>
        <w:spacing w:after="0" w:line="155" w:lineRule="exact"/>
        <w:rPr>
          <w:sz w:val="20"/>
          <w:szCs w:val="20"/>
          <w:color w:val="auto"/>
        </w:rPr>
      </w:pPr>
    </w:p>
    <w:p>
      <w:pPr>
        <w:jc w:val="both"/>
        <w:ind w:left="2" w:firstLine="1178"/>
        <w:spacing w:after="0" w:line="261" w:lineRule="auto"/>
        <w:rPr>
          <w:sz w:val="20"/>
          <w:szCs w:val="20"/>
          <w:color w:val="auto"/>
        </w:rPr>
      </w:pPr>
      <w:r>
        <w:rPr>
          <w:rFonts w:ascii="Times New Roman" w:cs="Times New Roman" w:eastAsia="Times New Roman" w:hAnsi="Times New Roman"/>
          <w:sz w:val="18"/>
          <w:szCs w:val="18"/>
          <w:color w:val="010000"/>
        </w:rPr>
        <w:t xml:space="preserve">SECTION 3.05. </w:t>
      </w:r>
      <w:r>
        <w:rPr>
          <w:rFonts w:ascii="Times New Roman" w:cs="Times New Roman" w:eastAsia="Times New Roman" w:hAnsi="Times New Roman"/>
          <w:sz w:val="18"/>
          <w:szCs w:val="18"/>
          <w:u w:val="single" w:color="auto"/>
          <w:color w:val="000000"/>
        </w:rPr>
        <w:t>Properties</w:t>
      </w:r>
      <w:r>
        <w:rPr>
          <w:rFonts w:ascii="Times New Roman" w:cs="Times New Roman" w:eastAsia="Times New Roman" w:hAnsi="Times New Roman"/>
          <w:sz w:val="18"/>
          <w:szCs w:val="18"/>
          <w:color w:val="000000"/>
        </w:rPr>
        <w:t>. (a) Except as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3.05</w:t>
      </w:r>
      <w:r>
        <w:rPr>
          <w:rFonts w:ascii="Times New Roman" w:cs="Times New Roman" w:eastAsia="Times New Roman" w:hAnsi="Times New Roman"/>
          <w:sz w:val="18"/>
          <w:szCs w:val="18"/>
          <w:color w:val="000000"/>
        </w:rPr>
        <w:t>, each of the Company and its Subsidiaries has good title to, or valid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leasehold interests in, all its real and personal property material to the operation of its business, except for minor defects in title that do not interfere with its ability to conduct its business as currently conducted or to utilize such properties for their intended purposes or such other defects as, in the aggregate, would not reasonably be expected to result in a Material Adverse Effect.</w:t>
      </w:r>
    </w:p>
    <w:p>
      <w:pPr>
        <w:spacing w:after="0" w:line="192" w:lineRule="exact"/>
        <w:rPr>
          <w:sz w:val="20"/>
          <w:szCs w:val="20"/>
          <w:color w:val="auto"/>
        </w:rPr>
      </w:pPr>
    </w:p>
    <w:p>
      <w:pPr>
        <w:jc w:val="both"/>
        <w:ind w:left="2" w:firstLine="1176"/>
        <w:spacing w:after="0" w:line="264" w:lineRule="auto"/>
        <w:tabs>
          <w:tab w:leader="none" w:pos="1459"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would not reasonably be expected to result in a Material Adverse Effect.</w:t>
      </w:r>
    </w:p>
    <w:p>
      <w:pPr>
        <w:spacing w:after="0" w:line="176" w:lineRule="exact"/>
        <w:rPr>
          <w:sz w:val="20"/>
          <w:szCs w:val="20"/>
          <w:color w:val="auto"/>
        </w:rPr>
      </w:pPr>
    </w:p>
    <w:p>
      <w:pPr>
        <w:ind w:left="2" w:firstLine="1178"/>
        <w:spacing w:after="0" w:line="263" w:lineRule="auto"/>
        <w:rPr>
          <w:sz w:val="20"/>
          <w:szCs w:val="20"/>
          <w:color w:val="auto"/>
        </w:rPr>
      </w:pPr>
      <w:r>
        <w:rPr>
          <w:rFonts w:ascii="Times New Roman" w:cs="Times New Roman" w:eastAsia="Times New Roman" w:hAnsi="Times New Roman"/>
          <w:sz w:val="18"/>
          <w:szCs w:val="18"/>
          <w:color w:val="010000"/>
        </w:rPr>
        <w:t xml:space="preserve">SECTION 3.06.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Except as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3.06</w:t>
      </w:r>
      <w:r>
        <w:rPr>
          <w:rFonts w:ascii="Times New Roman" w:cs="Times New Roman" w:eastAsia="Times New Roman" w:hAnsi="Times New Roman"/>
          <w:sz w:val="18"/>
          <w:szCs w:val="18"/>
          <w:color w:val="000000"/>
        </w:rPr>
        <w:t>, there are no actions, suits or proceedings by or before any arbitrator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Governmental Authority pending against or, to the best knowledge of any Borrower, threatened against or affecting the Company or any of its Subsidiaries</w:t>
      </w:r>
    </w:p>
    <w:p>
      <w:pPr>
        <w:spacing w:after="0" w:line="1" w:lineRule="exact"/>
        <w:rPr>
          <w:sz w:val="20"/>
          <w:szCs w:val="20"/>
          <w:color w:val="auto"/>
        </w:rPr>
      </w:pPr>
    </w:p>
    <w:p>
      <w:pPr>
        <w:jc w:val="both"/>
        <w:ind w:left="2" w:hanging="2"/>
        <w:spacing w:after="0" w:line="257" w:lineRule="auto"/>
        <w:tabs>
          <w:tab w:leader="none" w:pos="2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reasonably be expected, individually or in the aggregate, to result in a Material Adverse Effect (except for litigation disclosed prior to the Effective Date in reports publicly filed by the Company under the Securities Exchange Act of 1934, as amended) or (ii) that involve this Agreement or, as of the Effective Date, the Transactions.</w:t>
      </w:r>
    </w:p>
    <w:p>
      <w:pPr>
        <w:spacing w:after="0" w:line="181"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3.07. </w:t>
      </w:r>
      <w:r>
        <w:rPr>
          <w:rFonts w:ascii="Times New Roman" w:cs="Times New Roman" w:eastAsia="Times New Roman" w:hAnsi="Times New Roman"/>
          <w:sz w:val="18"/>
          <w:szCs w:val="18"/>
          <w:u w:val="single" w:color="auto"/>
          <w:color w:val="000000"/>
        </w:rPr>
        <w:t>Investment Company Status</w:t>
      </w:r>
      <w:r>
        <w:rPr>
          <w:rFonts w:ascii="Times New Roman" w:cs="Times New Roman" w:eastAsia="Times New Roman" w:hAnsi="Times New Roman"/>
          <w:sz w:val="18"/>
          <w:szCs w:val="18"/>
          <w:color w:val="000000"/>
        </w:rPr>
        <w:t>. No Borrower is an “investment company” as defined in, or subject to regulation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Investment Company Act of 1940.</w:t>
      </w:r>
    </w:p>
    <w:p>
      <w:pPr>
        <w:spacing w:after="0" w:line="168" w:lineRule="exact"/>
        <w:rPr>
          <w:sz w:val="20"/>
          <w:szCs w:val="20"/>
          <w:color w:val="auto"/>
        </w:rPr>
      </w:pPr>
    </w:p>
    <w:p>
      <w:pPr>
        <w:jc w:val="both"/>
        <w:ind w:left="2" w:firstLine="1178"/>
        <w:spacing w:after="0" w:line="257" w:lineRule="auto"/>
        <w:rPr>
          <w:sz w:val="20"/>
          <w:szCs w:val="20"/>
          <w:color w:val="auto"/>
        </w:rPr>
      </w:pPr>
      <w:r>
        <w:rPr>
          <w:rFonts w:ascii="Times New Roman" w:cs="Times New Roman" w:eastAsia="Times New Roman" w:hAnsi="Times New Roman"/>
          <w:sz w:val="18"/>
          <w:szCs w:val="18"/>
          <w:color w:val="010000"/>
        </w:rPr>
        <w:t xml:space="preserve">SECTION 3.08.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Each of the Company and its Subsidiaries has timely filed or caused to be filed all Tax returns and reports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to the extent required by GAAP or (b) to the extent that the failure to do so would not reasonably be expected to result in a Material Adverse Effect.</w:t>
      </w:r>
    </w:p>
    <w:p>
      <w:pPr>
        <w:spacing w:after="0" w:line="193"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3.09.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(i) Except as would not reasonably be expected to result in a Material Adverse Effect, each Plan is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compliance with the applicable provisions of ERISA and the provisions of the Code relating to Plans and the regulations and published interpretations thereunder, and each Foreign Plan is in compliance with applicable non-United States law and regulations thereunder, (ii) no ERISA Event has occurred or is reasonably expected to occur that, when taken together with all other such ERISA Events for which liability is reasonably expected to occur, would reasonably be expected to result in a Material Adverse Effect and (iii) no Borrower will be using “plan assets” (within the meaning of 29 CFR § 2510.3-101, as modified by Section 3(42) of ERISA) of one or more Benefit Plans in connection with the Loans, the Letters of Credit or the Commitments.</w:t>
      </w:r>
    </w:p>
    <w:p>
      <w:pPr>
        <w:spacing w:after="0" w:line="185" w:lineRule="exact"/>
        <w:rPr>
          <w:sz w:val="20"/>
          <w:szCs w:val="20"/>
          <w:color w:val="auto"/>
        </w:rPr>
      </w:pPr>
    </w:p>
    <w:p>
      <w:pPr>
        <w:ind w:left="1182"/>
        <w:spacing w:after="0"/>
        <w:tabs>
          <w:tab w:leader="none" w:pos="2501" w:val="left"/>
        </w:tabs>
        <w:rPr>
          <w:sz w:val="20"/>
          <w:szCs w:val="20"/>
          <w:color w:val="auto"/>
        </w:rPr>
      </w:pPr>
      <w:r>
        <w:rPr>
          <w:rFonts w:ascii="Times New Roman" w:cs="Times New Roman" w:eastAsia="Times New Roman" w:hAnsi="Times New Roman"/>
          <w:sz w:val="18"/>
          <w:szCs w:val="18"/>
          <w:color w:val="010000"/>
        </w:rPr>
        <w:t>SECTION 3.10.</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2" w:firstLine="1176"/>
        <w:spacing w:after="0" w:line="287" w:lineRule="auto"/>
        <w:tabs>
          <w:tab w:leader="none" w:pos="1760" w:val="left"/>
        </w:tabs>
        <w:numPr>
          <w:ilvl w:val="0"/>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reports, financial statements and certificates furnished by or on behalf of any Borrower to the Administrative Agent or any Lender in connection with the negotiation of this</w:t>
      </w:r>
    </w:p>
    <w:p>
      <w:pPr>
        <w:sectPr>
          <w:pgSz w:w="11900" w:h="16838" w:orient="portrait"/>
          <w:cols w:equalWidth="0" w:num="1">
            <w:col w:w="11242"/>
          </w:cols>
          <w:pgMar w:left="318" w:top="855" w:right="339" w:bottom="1440" w:gutter="0" w:footer="0" w:header="0"/>
        </w:sectPr>
      </w:pPr>
    </w:p>
    <w:bookmarkStart w:id="150" w:name="page151"/>
    <w:bookmarkEnd w:id="150"/>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 xml:space="preserve">Agreement or hereafter delivered hereunder or reports filed pursuant to the Securities Exchange Act of 1934, as amended (as modified or supplemented by other information so furnished prior to the date on which this representation and warranty is made or deemed made) do not contain any material misstatement of fact or omit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Company and the other Borrowers represent only that such information was prepared in good faith based upon assumptions believed to be reasonable at the time.</w:t>
      </w:r>
    </w:p>
    <w:p>
      <w:pPr>
        <w:spacing w:after="0" w:line="179" w:lineRule="exact"/>
        <w:rPr>
          <w:sz w:val="20"/>
          <w:szCs w:val="20"/>
          <w:color w:val="auto"/>
        </w:rPr>
      </w:pPr>
    </w:p>
    <w:p>
      <w:pPr>
        <w:ind w:left="1762" w:hanging="584"/>
        <w:spacing w:after="0"/>
        <w:tabs>
          <w:tab w:leader="none" w:pos="1762" w:val="left"/>
        </w:tabs>
        <w:numPr>
          <w:ilvl w:val="0"/>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Effective Date, the information included in the Beneficial Ownership Certification, if applicable, is true and correct in all</w:t>
      </w:r>
    </w:p>
    <w:p>
      <w:pPr>
        <w:spacing w:after="0" w:line="27" w:lineRule="exact"/>
        <w:rPr>
          <w:rFonts w:ascii="Times New Roman" w:cs="Times New Roman" w:eastAsia="Times New Roman" w:hAnsi="Times New Roman"/>
          <w:sz w:val="18"/>
          <w:szCs w:val="18"/>
          <w:color w:val="010000"/>
        </w:rPr>
      </w:pPr>
    </w:p>
    <w:p>
      <w:pPr>
        <w:ind w:left="2"/>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material respects.</w:t>
      </w:r>
    </w:p>
    <w:p>
      <w:pPr>
        <w:spacing w:after="0" w:line="209" w:lineRule="exact"/>
        <w:rPr>
          <w:sz w:val="20"/>
          <w:szCs w:val="20"/>
          <w:color w:val="auto"/>
        </w:rPr>
      </w:pPr>
    </w:p>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3.11. </w:t>
      </w:r>
      <w:r>
        <w:rPr>
          <w:rFonts w:ascii="Times New Roman" w:cs="Times New Roman" w:eastAsia="Times New Roman" w:hAnsi="Times New Roman"/>
          <w:sz w:val="18"/>
          <w:szCs w:val="18"/>
          <w:u w:val="single" w:color="auto"/>
          <w:color w:val="000000"/>
        </w:rPr>
        <w:t>Federal Reserve Regulations</w:t>
      </w:r>
      <w:r>
        <w:rPr>
          <w:rFonts w:ascii="Times New Roman" w:cs="Times New Roman" w:eastAsia="Times New Roman" w:hAnsi="Times New Roman"/>
          <w:sz w:val="18"/>
          <w:szCs w:val="18"/>
          <w:color w:val="000000"/>
        </w:rPr>
        <w:t>. No part of the proceeds of any Loan have been used or will be used, whether directly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indirectly, for any purpose that entails a violation of any of the Regulations of the Board, including Regulations T, U and X.</w:t>
      </w:r>
    </w:p>
    <w:p>
      <w:pPr>
        <w:spacing w:after="0" w:line="168" w:lineRule="exact"/>
        <w:rPr>
          <w:sz w:val="20"/>
          <w:szCs w:val="20"/>
          <w:color w:val="auto"/>
        </w:rPr>
      </w:pPr>
    </w:p>
    <w:p>
      <w:pPr>
        <w:ind w:left="1182"/>
        <w:spacing w:after="0"/>
        <w:tabs>
          <w:tab w:leader="none" w:pos="2501" w:val="left"/>
        </w:tabs>
        <w:rPr>
          <w:sz w:val="20"/>
          <w:szCs w:val="20"/>
          <w:color w:val="auto"/>
        </w:rPr>
      </w:pPr>
      <w:r>
        <w:rPr>
          <w:rFonts w:ascii="Times New Roman" w:cs="Times New Roman" w:eastAsia="Times New Roman" w:hAnsi="Times New Roman"/>
          <w:sz w:val="18"/>
          <w:szCs w:val="18"/>
          <w:color w:val="010000"/>
        </w:rPr>
        <w:t>SECTION 3.12.</w:t>
      </w:r>
      <w:r>
        <w:rPr>
          <w:sz w:val="20"/>
          <w:szCs w:val="20"/>
          <w:color w:val="auto"/>
        </w:rPr>
        <w:tab/>
      </w:r>
      <w:r>
        <w:rPr>
          <w:rFonts w:ascii="Times New Roman" w:cs="Times New Roman" w:eastAsia="Times New Roman" w:hAnsi="Times New Roman"/>
          <w:sz w:val="17"/>
          <w:szCs w:val="17"/>
          <w:u w:val="single" w:color="auto"/>
          <w:color w:val="auto"/>
        </w:rPr>
        <w:t>No Default</w:t>
      </w:r>
      <w:r>
        <w:rPr>
          <w:rFonts w:ascii="Times New Roman" w:cs="Times New Roman" w:eastAsia="Times New Roman" w:hAnsi="Times New Roman"/>
          <w:sz w:val="17"/>
          <w:szCs w:val="17"/>
          <w:color w:val="auto"/>
        </w:rPr>
        <w:t>. No Default or Event of Default has occurred and is continuing.</w:t>
      </w:r>
    </w:p>
    <w:p>
      <w:pPr>
        <w:spacing w:after="0" w:line="222" w:lineRule="exact"/>
        <w:rPr>
          <w:sz w:val="20"/>
          <w:szCs w:val="20"/>
          <w:color w:val="auto"/>
        </w:rPr>
      </w:pPr>
    </w:p>
    <w:p>
      <w:pPr>
        <w:jc w:val="both"/>
        <w:ind w:left="2" w:firstLine="1178"/>
        <w:spacing w:after="0" w:line="271" w:lineRule="auto"/>
        <w:rPr>
          <w:sz w:val="20"/>
          <w:szCs w:val="20"/>
          <w:color w:val="auto"/>
        </w:rPr>
      </w:pPr>
      <w:r>
        <w:rPr>
          <w:rFonts w:ascii="Times New Roman" w:cs="Times New Roman" w:eastAsia="Times New Roman" w:hAnsi="Times New Roman"/>
          <w:sz w:val="17"/>
          <w:szCs w:val="17"/>
          <w:color w:val="010000"/>
        </w:rPr>
        <w:t xml:space="preserve">SECTION 3.13. </w:t>
      </w:r>
      <w:r>
        <w:rPr>
          <w:rFonts w:ascii="Times New Roman" w:cs="Times New Roman" w:eastAsia="Times New Roman" w:hAnsi="Times New Roman"/>
          <w:sz w:val="17"/>
          <w:szCs w:val="17"/>
          <w:u w:val="single" w:color="auto"/>
          <w:color w:val="000000"/>
        </w:rPr>
        <w:t>Anti-Corruption Laws and Sanctions</w:t>
      </w:r>
      <w:r>
        <w:rPr>
          <w:rFonts w:ascii="Times New Roman" w:cs="Times New Roman" w:eastAsia="Times New Roman" w:hAnsi="Times New Roman"/>
          <w:sz w:val="17"/>
          <w:szCs w:val="17"/>
          <w:color w:val="000000"/>
        </w:rPr>
        <w:t>. The Company has implemented and maintains in effect policies and procedures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reasonably designed to ensure compliance in all material respects by the Company, its Subsidiaries and their respective directors, officers, employees and agents with Anti-Corruption Laws and applicable Sanctions, and the Company, its Subsidiaries and their respective officers and employees and to the knowledge of the Company its directors and agents, are in compliance with Anti-Corruption Laws and applicable Sanctions in all material respects. None of</w:t>
      </w:r>
    </w:p>
    <w:p>
      <w:pPr>
        <w:spacing w:after="0" w:line="2" w:lineRule="exact"/>
        <w:rPr>
          <w:sz w:val="20"/>
          <w:szCs w:val="20"/>
          <w:color w:val="auto"/>
        </w:rPr>
      </w:pPr>
    </w:p>
    <w:p>
      <w:pPr>
        <w:jc w:val="both"/>
        <w:ind w:left="2" w:hanging="2"/>
        <w:spacing w:after="0" w:line="257" w:lineRule="auto"/>
        <w:tabs>
          <w:tab w:leader="none" w:pos="25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facilities established hereby, is a Sanctioned Person.</w:t>
      </w:r>
    </w:p>
    <w:p>
      <w:pPr>
        <w:spacing w:after="0" w:line="181" w:lineRule="exact"/>
        <w:rPr>
          <w:sz w:val="20"/>
          <w:szCs w:val="20"/>
          <w:color w:val="auto"/>
        </w:rPr>
      </w:pPr>
    </w:p>
    <w:p>
      <w:pPr>
        <w:ind w:left="1182"/>
        <w:spacing w:after="0"/>
        <w:tabs>
          <w:tab w:leader="none" w:pos="2601" w:val="left"/>
        </w:tabs>
        <w:rPr>
          <w:sz w:val="20"/>
          <w:szCs w:val="20"/>
          <w:color w:val="auto"/>
        </w:rPr>
      </w:pPr>
      <w:r>
        <w:rPr>
          <w:rFonts w:ascii="Times New Roman" w:cs="Times New Roman" w:eastAsia="Times New Roman" w:hAnsi="Times New Roman"/>
          <w:sz w:val="18"/>
          <w:szCs w:val="18"/>
          <w:color w:val="010000"/>
        </w:rPr>
        <w:t>SECTION 3.14.</w:t>
      </w:r>
      <w:r>
        <w:rPr>
          <w:sz w:val="20"/>
          <w:szCs w:val="20"/>
          <w:color w:val="auto"/>
        </w:rPr>
        <w:tab/>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Amendment No. 1 Effective Date, the Company and its Subsidiaries, on a consolidated basis, are</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Solvent.</w:t>
      </w:r>
    </w:p>
    <w:p>
      <w:pPr>
        <w:spacing w:after="0" w:line="221" w:lineRule="exact"/>
        <w:rPr>
          <w:sz w:val="20"/>
          <w:szCs w:val="20"/>
          <w:color w:val="auto"/>
        </w:rPr>
      </w:pPr>
    </w:p>
    <w:p>
      <w:pPr>
        <w:ind w:left="2"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3.15. </w:t>
      </w:r>
      <w:r>
        <w:rPr>
          <w:rFonts w:ascii="Times New Roman" w:cs="Times New Roman" w:eastAsia="Times New Roman" w:hAnsi="Times New Roman"/>
          <w:sz w:val="18"/>
          <w:szCs w:val="18"/>
          <w:u w:val="single" w:color="auto"/>
          <w:color w:val="000000"/>
        </w:rPr>
        <w:t>Use of Proceeds</w:t>
      </w:r>
      <w:r>
        <w:rPr>
          <w:rFonts w:ascii="Times New Roman" w:cs="Times New Roman" w:eastAsia="Times New Roman" w:hAnsi="Times New Roman"/>
          <w:sz w:val="18"/>
          <w:szCs w:val="18"/>
          <w:color w:val="000000"/>
        </w:rPr>
        <w:t>. No Borrower will, directly or, to its knowledge, indirectly, use any part of the proceeds of any Loan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violation of (i) any Anti-Corruption Laws, (ii) applicable Sanctions, or (iii) the Act.</w:t>
      </w:r>
    </w:p>
    <w:p>
      <w:pPr>
        <w:spacing w:after="0" w:line="179" w:lineRule="exact"/>
        <w:rPr>
          <w:sz w:val="20"/>
          <w:szCs w:val="20"/>
          <w:color w:val="auto"/>
        </w:rPr>
      </w:pPr>
    </w:p>
    <w:p>
      <w:pPr>
        <w:ind w:left="1182"/>
        <w:spacing w:after="0"/>
        <w:tabs>
          <w:tab w:leader="none" w:pos="2501" w:val="left"/>
        </w:tabs>
        <w:rPr>
          <w:sz w:val="20"/>
          <w:szCs w:val="20"/>
          <w:color w:val="auto"/>
        </w:rPr>
      </w:pPr>
      <w:r>
        <w:rPr>
          <w:rFonts w:ascii="Times New Roman" w:cs="Times New Roman" w:eastAsia="Times New Roman" w:hAnsi="Times New Roman"/>
          <w:sz w:val="18"/>
          <w:szCs w:val="18"/>
          <w:color w:val="010000"/>
        </w:rPr>
        <w:t>SECTION 3.16.</w:t>
      </w:r>
      <w:r>
        <w:rPr>
          <w:sz w:val="20"/>
          <w:szCs w:val="20"/>
          <w:color w:val="auto"/>
        </w:rPr>
        <w:tab/>
      </w:r>
      <w:r>
        <w:rPr>
          <w:rFonts w:ascii="Times New Roman" w:cs="Times New Roman" w:eastAsia="Times New Roman" w:hAnsi="Times New Roman"/>
          <w:sz w:val="17"/>
          <w:szCs w:val="17"/>
          <w:u w:val="single" w:color="auto"/>
          <w:color w:val="auto"/>
        </w:rPr>
        <w:t>EEA Financial Institutions</w:t>
      </w:r>
      <w:r>
        <w:rPr>
          <w:rFonts w:ascii="Times New Roman" w:cs="Times New Roman" w:eastAsia="Times New Roman" w:hAnsi="Times New Roman"/>
          <w:sz w:val="17"/>
          <w:szCs w:val="17"/>
          <w:color w:val="auto"/>
        </w:rPr>
        <w:t>. No Borrower is an EEA Financial Institution.</w:t>
      </w:r>
    </w:p>
    <w:p>
      <w:pPr>
        <w:sectPr>
          <w:pgSz w:w="11900" w:h="16838" w:orient="portrait"/>
          <w:cols w:equalWidth="0" w:num="1">
            <w:col w:w="11242"/>
          </w:cols>
          <w:pgMar w:left="318" w:top="634" w:right="339" w:bottom="1440" w:gutter="0" w:footer="0" w:header="0"/>
        </w:sectPr>
      </w:pPr>
    </w:p>
    <w:bookmarkStart w:id="151" w:name="page152"/>
    <w:bookmarkEnd w:id="151"/>
    <w:p>
      <w:pPr>
        <w:jc w:val="center"/>
        <w:ind w:left="1160"/>
        <w:spacing w:after="0"/>
        <w:rPr>
          <w:sz w:val="20"/>
          <w:szCs w:val="20"/>
          <w:color w:val="auto"/>
        </w:rPr>
      </w:pPr>
      <w:r>
        <w:rPr>
          <w:rFonts w:ascii="Times New Roman" w:cs="Times New Roman" w:eastAsia="Times New Roman" w:hAnsi="Times New Roman"/>
          <w:sz w:val="18"/>
          <w:szCs w:val="18"/>
          <w:color w:val="010000"/>
        </w:rPr>
        <w:t>ARTICLE IV</w:t>
      </w:r>
    </w:p>
    <w:p>
      <w:pPr>
        <w:spacing w:after="0" w:line="235"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2"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4.01. </w:t>
      </w:r>
      <w:r>
        <w:rPr>
          <w:rFonts w:ascii="Times New Roman" w:cs="Times New Roman" w:eastAsia="Times New Roman" w:hAnsi="Times New Roman"/>
          <w:sz w:val="18"/>
          <w:szCs w:val="18"/>
          <w:u w:val="single" w:color="auto"/>
          <w:color w:val="000000"/>
        </w:rPr>
        <w:t>Effective Date</w:t>
      </w:r>
      <w:r>
        <w:rPr>
          <w:rFonts w:ascii="Times New Roman" w:cs="Times New Roman" w:eastAsia="Times New Roman" w:hAnsi="Times New Roman"/>
          <w:sz w:val="18"/>
          <w:szCs w:val="18"/>
          <w:color w:val="000000"/>
        </w:rPr>
        <w:t>. This Agreement shall become effective on and as of the first date on which each of the following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precedent is satisfied (or waived in accordance with Section 9.02):</w:t>
      </w:r>
    </w:p>
    <w:p>
      <w:pPr>
        <w:spacing w:after="0" w:line="168" w:lineRule="exact"/>
        <w:rPr>
          <w:sz w:val="20"/>
          <w:szCs w:val="20"/>
          <w:color w:val="auto"/>
        </w:rPr>
      </w:pPr>
    </w:p>
    <w:p>
      <w:pPr>
        <w:ind w:left="1760" w:hanging="584"/>
        <w:spacing w:after="0"/>
        <w:tabs>
          <w:tab w:leader="none" w:pos="1760"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(or its counsel) shall have received from each party hereto a counterpart of this Agreement signed on</w:t>
      </w:r>
    </w:p>
    <w:p>
      <w:pPr>
        <w:spacing w:after="0" w:line="2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behalf of such party.</w:t>
      </w:r>
    </w:p>
    <w:p>
      <w:pPr>
        <w:spacing w:after="0" w:line="214"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(i) all documentation and other information relating to each Borrower reasonably requested by the Administrative Agent and any Lenders at least three (3) Business Days prior to the Effective Date under applicable “know your customer” and anti-money laundering rules and regulations including, without limitation, the Act, in each case to the extent requested in writing at least ten days prior to the Effective Date and (ii) a Beneficial Ownership Certification in relation to any Borrower that qualifies as a “legal entity customer” under the Beneficial Ownership Regulation as requested by the Administrative Agent and any Lenders.</w:t>
      </w:r>
    </w:p>
    <w:p>
      <w:pPr>
        <w:spacing w:after="0" w:line="196"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8"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certificate dated the Effective Date and signed by an executive officer of the Company, confirming (i) the representations and warranties of the Company set forth in this Agreement are true and correct in all material respects on and as of the Effective Date (except to the extent any such representation and warranty relates to an earlier date) (provided any such representations that are qualified by materiality, material adverse effect or language of similar effect shall be true and correct in all respects as of the Effective Date) and (ii) with respect to the Existing Credit Agreement, all revolving loan commitments thereunder have been terminated in full and all revolving loans thereunder have been repaid in full.</w:t>
      </w:r>
    </w:p>
    <w:p>
      <w:pPr>
        <w:spacing w:after="0" w:line="184"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copies, certified by the Secretary or Assistant Secretary of each Borrower (or if such Borrower has not appointed a Secretary or Assistant Secretary, any executive officer of such Borrower), of its Board of Directors’ resolutions approving this Agreement and any other Loan Documents to which such Borrower is becoming a party and such documents and certificates as the Administrative Agent or its counsel may reasonably request relating to the organization, existence and good standing of such Borrower.</w:t>
      </w:r>
    </w:p>
    <w:p>
      <w:pPr>
        <w:spacing w:after="0" w:line="191"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8"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an incumbency certificate, executed by the Secretary or Assistant Secretary of such Borrower (or if such Borrower has not appointed a Secretary or Assistant Secretary, any executive officer of such Borrower), which shall identify by name and title and bear the signature of the officers of such Borrower authorized to request Borrowings hereunder and sign this Agreement and the other Loan Documents to which such Borrower is becoming a party, upon which certificate the Administrative Agent and the Lenders shall be entitled to rely until informed of any change in writing by the Company or such Borrower.</w:t>
      </w:r>
    </w:p>
    <w:p>
      <w:pPr>
        <w:spacing w:after="0" w:line="196"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62"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opinions of counsel to the Borrowers, in form and substance reasonably satisfactory to the Administrative Agent and its counsel, with respect to the laws of its jurisdiction of organization and such other matters as are reasonably requested by counsel to the Administrative Agent.</w:t>
      </w:r>
    </w:p>
    <w:p>
      <w:pPr>
        <w:spacing w:after="0" w:line="175"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any promissory notes requested by any Lender at least three Business Days in advance of the Effective Date.</w:t>
      </w:r>
    </w:p>
    <w:p>
      <w:pPr>
        <w:spacing w:after="0" w:line="167" w:lineRule="exact"/>
        <w:rPr>
          <w:rFonts w:ascii="Times New Roman" w:cs="Times New Roman" w:eastAsia="Times New Roman" w:hAnsi="Times New Roman"/>
          <w:sz w:val="18"/>
          <w:szCs w:val="18"/>
          <w:color w:val="010000"/>
        </w:rPr>
      </w:pPr>
    </w:p>
    <w:p>
      <w:pPr>
        <w:jc w:val="both"/>
        <w:ind w:firstLine="1176"/>
        <w:spacing w:after="0" w:line="257" w:lineRule="auto"/>
        <w:tabs>
          <w:tab w:leader="none" w:pos="175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invoiced three (3) Business Days prior to the Effective Date, the Administrative Agent shall have received all fees and other amounts due and payable hereunder and under the Facilities Commitment Letter and the Facilities Fee Letters on or prior to the Effective Date, including the reimbursement or payment of all out-of-pocket expenses required to be reimbursed or paid by the Borrowers hereunder and under the Facilities Commitment Letter and the Facilities Fee Letters.</w:t>
      </w:r>
    </w:p>
    <w:p>
      <w:pPr>
        <w:sectPr>
          <w:pgSz w:w="11900" w:h="16838" w:orient="portrait"/>
          <w:cols w:equalWidth="0" w:num="1">
            <w:col w:w="11240"/>
          </w:cols>
          <w:pgMar w:left="320" w:top="634" w:right="339" w:bottom="1440" w:gutter="0" w:footer="0" w:header="0"/>
        </w:sectPr>
      </w:pPr>
    </w:p>
    <w:bookmarkStart w:id="152" w:name="page153"/>
    <w:bookmarkEnd w:id="152"/>
    <w:p>
      <w:pPr>
        <w:jc w:val="both"/>
        <w:ind w:firstLine="1178"/>
        <w:spacing w:after="0" w:line="264" w:lineRule="auto"/>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u w:val="single" w:color="auto"/>
          <w:color w:val="000000"/>
        </w:rPr>
        <w:t>Each Credit Event</w:t>
      </w:r>
      <w:r>
        <w:rPr>
          <w:rFonts w:ascii="Times New Roman" w:cs="Times New Roman" w:eastAsia="Times New Roman" w:hAnsi="Times New Roman"/>
          <w:sz w:val="18"/>
          <w:szCs w:val="18"/>
          <w:color w:val="000000"/>
        </w:rPr>
        <w:t>. The obligation of each Lender to make a Loan on the occasion of any Borrowing (except for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conversion or continuation of any Loan), and of the Issuing Banks to issue, amend, renew or extend any Letter of Credit, is subject to the satisfaction of the following conditions:</w:t>
      </w:r>
    </w:p>
    <w:p>
      <w:pPr>
        <w:spacing w:after="0" w:line="188" w:lineRule="exact"/>
        <w:rPr>
          <w:sz w:val="20"/>
          <w:szCs w:val="20"/>
          <w:color w:val="auto"/>
        </w:rPr>
      </w:pPr>
    </w:p>
    <w:p>
      <w:pPr>
        <w:ind w:left="1760" w:hanging="584"/>
        <w:spacing w:after="0"/>
        <w:tabs>
          <w:tab w:leader="none" w:pos="1760"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shall have occurred.</w:t>
      </w:r>
    </w:p>
    <w:p>
      <w:pPr>
        <w:spacing w:after="0" w:line="234" w:lineRule="exact"/>
        <w:rPr>
          <w:rFonts w:ascii="Times New Roman" w:cs="Times New Roman" w:eastAsia="Times New Roman" w:hAnsi="Times New Roman"/>
          <w:sz w:val="18"/>
          <w:szCs w:val="18"/>
          <w:color w:val="010000"/>
        </w:rPr>
      </w:pPr>
    </w:p>
    <w:p>
      <w:pPr>
        <w:ind w:firstLine="1176"/>
        <w:spacing w:after="0" w:line="273" w:lineRule="auto"/>
        <w:tabs>
          <w:tab w:leader="none" w:pos="1756"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of the Borrowers set forth in this Agreement (other than Sections 3.04(b) and 3.06) shall be true and correct on and as of the date of such Borrowing or the date of issuance, amendment, renewal or extension of such Letter of Credit, as applicable.</w:t>
      </w:r>
    </w:p>
    <w:p>
      <w:pPr>
        <w:spacing w:after="0" w:line="179" w:lineRule="exact"/>
        <w:rPr>
          <w:rFonts w:ascii="Times New Roman" w:cs="Times New Roman" w:eastAsia="Times New Roman" w:hAnsi="Times New Roman"/>
          <w:sz w:val="18"/>
          <w:szCs w:val="18"/>
          <w:color w:val="010000"/>
        </w:rPr>
      </w:pPr>
    </w:p>
    <w:p>
      <w:pPr>
        <w:ind w:firstLine="1176"/>
        <w:spacing w:after="0" w:line="273" w:lineRule="auto"/>
        <w:tabs>
          <w:tab w:leader="none" w:pos="1758"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duly executed Borrowing Request complying with the terms of Section 2.03.</w:t>
      </w:r>
    </w:p>
    <w:p>
      <w:pPr>
        <w:spacing w:after="0" w:line="235"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auto"/>
        </w:rPr>
        <w:t>Each Borrowing and each issuance, amendment, renewal or extension of a Letter of Credit shall be deemed to constitute a representation and warranty by the Borrowers on the date thereof as to the matters specified in paragraphs (b) and (c) of this Section.</w:t>
      </w:r>
    </w:p>
    <w:p>
      <w:pPr>
        <w:spacing w:after="0" w:line="179"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010000"/>
        </w:rPr>
        <w:t xml:space="preserve">SECTION 4.03. </w:t>
      </w:r>
      <w:r>
        <w:rPr>
          <w:rFonts w:ascii="Times New Roman" w:cs="Times New Roman" w:eastAsia="Times New Roman" w:hAnsi="Times New Roman"/>
          <w:sz w:val="18"/>
          <w:szCs w:val="18"/>
          <w:u w:val="single" w:color="auto"/>
          <w:color w:val="000000"/>
        </w:rPr>
        <w:t>Designation of a Foreign Subsidiary Borrower</w:t>
      </w:r>
      <w:r>
        <w:rPr>
          <w:rFonts w:ascii="Times New Roman" w:cs="Times New Roman" w:eastAsia="Times New Roman" w:hAnsi="Times New Roman"/>
          <w:sz w:val="18"/>
          <w:szCs w:val="18"/>
          <w:color w:val="000000"/>
        </w:rPr>
        <w:t>. The designation of a Foreign Subsidiary Borrower pursuant to Section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2.23 is subject to the condition precedent that the Company or such proposed Foreign Subsidiary Borrower shall have furnished or caused to be furnished to the Administrative Agent:</w:t>
      </w:r>
    </w:p>
    <w:p>
      <w:pPr>
        <w:spacing w:after="0" w:line="188" w:lineRule="exact"/>
        <w:rPr>
          <w:sz w:val="20"/>
          <w:szCs w:val="20"/>
          <w:color w:val="auto"/>
        </w:rPr>
      </w:pPr>
    </w:p>
    <w:p>
      <w:pPr>
        <w:jc w:val="both"/>
        <w:ind w:firstLine="1176"/>
        <w:spacing w:after="0" w:line="256" w:lineRule="auto"/>
        <w:tabs>
          <w:tab w:leader="none" w:pos="1758"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Copies, certified by the Secretary or Assistant Secretary (or if such Subsidiary has not appointed a Secretary or Assistant Secretary, any executive officer of such Subsidiary) or any director of such Subsidiary ,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w:t>
      </w:r>
    </w:p>
    <w:p>
      <w:pPr>
        <w:spacing w:after="0" w:line="196"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6"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incumbency certificate, executed by the Secretary or Assistant Secretary (or if such Subsidiary has not appointed a Secretary or Assistant Secretary, any executive officer of such Subsidiary) or any director of such Subsidiary , which shall identify by name and title and bear the signature of the officers or directors, as applicable,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84" w:lineRule="exact"/>
        <w:rPr>
          <w:rFonts w:ascii="Times New Roman" w:cs="Times New Roman" w:eastAsia="Times New Roman" w:hAnsi="Times New Roman"/>
          <w:sz w:val="18"/>
          <w:szCs w:val="18"/>
          <w:color w:val="010000"/>
        </w:rPr>
      </w:pPr>
    </w:p>
    <w:p>
      <w:pPr>
        <w:jc w:val="both"/>
        <w:ind w:firstLine="1176"/>
        <w:spacing w:after="0" w:line="271" w:lineRule="auto"/>
        <w:tabs>
          <w:tab w:leader="none" w:pos="1758"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170"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promissory notes requested by any Lender, and any other instruments and documents reasonably requested by the Administrative Agent; and</w:t>
      </w:r>
    </w:p>
    <w:p>
      <w:pPr>
        <w:spacing w:after="0" w:line="155" w:lineRule="exact"/>
        <w:rPr>
          <w:rFonts w:ascii="Times New Roman" w:cs="Times New Roman" w:eastAsia="Times New Roman" w:hAnsi="Times New Roman"/>
          <w:sz w:val="18"/>
          <w:szCs w:val="18"/>
          <w:color w:val="010000"/>
        </w:rPr>
      </w:pPr>
    </w:p>
    <w:p>
      <w:pPr>
        <w:jc w:val="both"/>
        <w:ind w:firstLine="1176"/>
        <w:spacing w:after="0" w:line="271" w:lineRule="auto"/>
        <w:tabs>
          <w:tab w:leader="none" w:pos="1758"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(i) all documentation and other information relating to such Foreign Subsidiary Borrower reasonably requested by the Administrative Agent and any Lenders at least three (3) Business Days prior to the effective date of such Foreign Subsidiary</w:t>
      </w:r>
    </w:p>
    <w:p>
      <w:pPr>
        <w:sectPr>
          <w:pgSz w:w="11900" w:h="16838" w:orient="portrait"/>
          <w:cols w:equalWidth="0" w:num="1">
            <w:col w:w="11240"/>
          </w:cols>
          <w:pgMar w:left="320" w:top="855" w:right="339" w:bottom="1440" w:gutter="0" w:footer="0" w:header="0"/>
        </w:sectPr>
      </w:pPr>
    </w:p>
    <w:bookmarkStart w:id="153" w:name="page154"/>
    <w:bookmarkEnd w:id="153"/>
    <w:p>
      <w:pPr>
        <w:jc w:val="both"/>
        <w:spacing w:after="0" w:line="264" w:lineRule="auto"/>
        <w:rPr>
          <w:sz w:val="20"/>
          <w:szCs w:val="20"/>
          <w:color w:val="auto"/>
        </w:rPr>
      </w:pPr>
      <w:r>
        <w:rPr>
          <w:rFonts w:ascii="Times New Roman" w:cs="Times New Roman" w:eastAsia="Times New Roman" w:hAnsi="Times New Roman"/>
          <w:sz w:val="18"/>
          <w:szCs w:val="18"/>
          <w:color w:val="auto"/>
        </w:rPr>
        <w:t>Borrower’s Borrowing Subsidiary Agreement under applicable “know your customer” and anti-money laundering rules and regulations including, without limitation, the Act and (ii) a Beneficial Ownership Certification in relation to any Foreign Subsidiary Borrower that qualifies as a “legal entity customer” under the Beneficial Ownership Regulation as requested by the Administrative Agent and any Lenders.</w:t>
      </w:r>
    </w:p>
    <w:p>
      <w:pPr>
        <w:sectPr>
          <w:pgSz w:w="11900" w:h="16838" w:orient="portrait"/>
          <w:cols w:equalWidth="0" w:num="1">
            <w:col w:w="11240"/>
          </w:cols>
          <w:pgMar w:left="320" w:top="634" w:right="339" w:bottom="1440" w:gutter="0" w:footer="0" w:header="0"/>
        </w:sectPr>
      </w:pPr>
    </w:p>
    <w:bookmarkStart w:id="154" w:name="page155"/>
    <w:bookmarkEnd w:id="154"/>
    <w:p>
      <w:pPr>
        <w:jc w:val="center"/>
        <w:ind w:left="1180"/>
        <w:spacing w:after="0"/>
        <w:rPr>
          <w:sz w:val="20"/>
          <w:szCs w:val="20"/>
          <w:color w:val="auto"/>
        </w:rPr>
      </w:pPr>
      <w:r>
        <w:rPr>
          <w:rFonts w:ascii="Times New Roman" w:cs="Times New Roman" w:eastAsia="Times New Roman" w:hAnsi="Times New Roman"/>
          <w:sz w:val="18"/>
          <w:szCs w:val="18"/>
          <w:color w:val="010000"/>
        </w:rPr>
        <w:t>ARTICLE V</w:t>
      </w:r>
    </w:p>
    <w:p>
      <w:pPr>
        <w:spacing w:after="0" w:line="235"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2"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until the Commitments have expired or been terminated and the principal of and interest on each Loan and all fees payable hereunder shall have been paid in full and all Letters of Credit shall have expired or terminated, in each case, without any pending draw, or cash collateralized in accordance with Section 2.06(j), and all LC Disbursements shall have been reimbursed, the Borrowers covenant and agree with the Lenders that:</w:t>
      </w:r>
    </w:p>
    <w:p>
      <w:pPr>
        <w:spacing w:after="0" w:line="192" w:lineRule="exact"/>
        <w:rPr>
          <w:sz w:val="20"/>
          <w:szCs w:val="20"/>
          <w:color w:val="auto"/>
        </w:rPr>
      </w:pPr>
    </w:p>
    <w:p>
      <w:pPr>
        <w:jc w:val="both"/>
        <w:ind w:right="20"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5.01. </w:t>
      </w:r>
      <w:r>
        <w:rPr>
          <w:rFonts w:ascii="Times New Roman" w:cs="Times New Roman" w:eastAsia="Times New Roman" w:hAnsi="Times New Roman"/>
          <w:sz w:val="18"/>
          <w:szCs w:val="18"/>
          <w:u w:val="single" w:color="auto"/>
          <w:color w:val="000000"/>
        </w:rPr>
        <w:t>Financial Statements and Other Information</w:t>
      </w:r>
      <w:r>
        <w:rPr>
          <w:rFonts w:ascii="Times New Roman" w:cs="Times New Roman" w:eastAsia="Times New Roman" w:hAnsi="Times New Roman"/>
          <w:sz w:val="18"/>
          <w:szCs w:val="18"/>
          <w:color w:val="000000"/>
        </w:rPr>
        <w:t>. The Company will furnish to the Administrative Agent and each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 the Administrative Agent:</w:t>
      </w:r>
    </w:p>
    <w:p>
      <w:pPr>
        <w:spacing w:after="0" w:line="179" w:lineRule="exact"/>
        <w:rPr>
          <w:sz w:val="20"/>
          <w:szCs w:val="20"/>
          <w:color w:val="auto"/>
        </w:rPr>
      </w:pPr>
    </w:p>
    <w:p>
      <w:pPr>
        <w:jc w:val="both"/>
        <w:ind w:firstLine="1176"/>
        <w:spacing w:after="0" w:line="254" w:lineRule="auto"/>
        <w:tabs>
          <w:tab w:leader="none" w:pos="1758"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ninety (90) days after the end of each Fiscal Year of the Company (or, if earlier, by the date that the Annual Report on Form 10-K of the Company for such Fiscal Year would be required to be filed under the rules and regulations of the SEC, giving effect to any extension available thereunder for the filing of such form), its audited consolidated balance sheet and related statements of income,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98" w:lineRule="exact"/>
        <w:rPr>
          <w:rFonts w:ascii="Times New Roman" w:cs="Times New Roman" w:eastAsia="Times New Roman" w:hAnsi="Times New Roman"/>
          <w:sz w:val="18"/>
          <w:szCs w:val="18"/>
          <w:color w:val="010000"/>
        </w:rPr>
      </w:pPr>
    </w:p>
    <w:p>
      <w:pPr>
        <w:jc w:val="both"/>
        <w:ind w:right="20" w:firstLine="1176"/>
        <w:spacing w:after="0" w:line="254" w:lineRule="auto"/>
        <w:tabs>
          <w:tab w:leader="none" w:pos="1756"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sixty (60)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extension available thereunder for the filing of such form), its consolidated balance sheet and related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6" w:lineRule="exact"/>
        <w:rPr>
          <w:rFonts w:ascii="Times New Roman" w:cs="Times New Roman" w:eastAsia="Times New Roman" w:hAnsi="Times New Roman"/>
          <w:sz w:val="18"/>
          <w:szCs w:val="18"/>
          <w:color w:val="010000"/>
        </w:rPr>
      </w:pPr>
    </w:p>
    <w:p>
      <w:pPr>
        <w:jc w:val="both"/>
        <w:ind w:right="20" w:firstLine="1176"/>
        <w:spacing w:after="0" w:line="256" w:lineRule="auto"/>
        <w:tabs>
          <w:tab w:leader="none" w:pos="1758"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concurrently with any delivery of financial statements under clause (a) or (b) above, a certificate of a Financial Officer of the Company (i) stating that he or she has obtained no knowledge that a Default has occurred (except as set forth in such certificate) and, if a Default has occurred, specifying the details thereof and any action taken or proposed to be taken with respect thereto, (ii) (x) setting forth reasonably detailed calculations demonstrating the calculation of the Gross Leverage Ratio and the Net Leverage Ratio at the end of the relevant Fiscal Quarter or Fiscal Year and (y) demonstrating compliance with Section 6.07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6" w:lineRule="exact"/>
        <w:rPr>
          <w:rFonts w:ascii="Times New Roman" w:cs="Times New Roman" w:eastAsia="Times New Roman" w:hAnsi="Times New Roman"/>
          <w:sz w:val="18"/>
          <w:szCs w:val="18"/>
          <w:color w:val="010000"/>
        </w:rPr>
      </w:pPr>
    </w:p>
    <w:p>
      <w:pPr>
        <w:jc w:val="both"/>
        <w:ind w:right="20" w:firstLine="1176"/>
        <w:spacing w:after="0" w:line="264" w:lineRule="auto"/>
        <w:tabs>
          <w:tab w:leader="none" w:pos="1756"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as the case may be;</w:t>
      </w:r>
    </w:p>
    <w:p>
      <w:pPr>
        <w:spacing w:after="0" w:line="175" w:lineRule="exact"/>
        <w:rPr>
          <w:rFonts w:ascii="Times New Roman" w:cs="Times New Roman" w:eastAsia="Times New Roman" w:hAnsi="Times New Roman"/>
          <w:sz w:val="18"/>
          <w:szCs w:val="18"/>
          <w:color w:val="010000"/>
        </w:rPr>
      </w:pPr>
    </w:p>
    <w:p>
      <w:pPr>
        <w:ind w:right="20" w:firstLine="1176"/>
        <w:spacing w:after="0" w:line="287" w:lineRule="auto"/>
        <w:tabs>
          <w:tab w:leader="none" w:pos="1758"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any request therefor, provide information and documentation reasonably requested by the Administrative Agent or any Lender (acting through the Administrative Agent)</w:t>
      </w:r>
    </w:p>
    <w:p>
      <w:pPr>
        <w:sectPr>
          <w:pgSz w:w="11900" w:h="16838" w:orient="portrait"/>
          <w:cols w:equalWidth="0" w:num="1">
            <w:col w:w="11260"/>
          </w:cols>
          <w:pgMar w:left="320" w:top="634" w:right="319" w:bottom="1440" w:gutter="0" w:footer="0" w:header="0"/>
        </w:sectPr>
      </w:pPr>
    </w:p>
    <w:bookmarkStart w:id="155" w:name="page156"/>
    <w:bookmarkEnd w:id="155"/>
    <w:p>
      <w:pPr>
        <w:spacing w:after="0" w:line="287" w:lineRule="auto"/>
        <w:rPr>
          <w:sz w:val="20"/>
          <w:szCs w:val="20"/>
          <w:color w:val="auto"/>
        </w:rPr>
      </w:pPr>
      <w:r>
        <w:rPr>
          <w:rFonts w:ascii="Times New Roman" w:cs="Times New Roman" w:eastAsia="Times New Roman" w:hAnsi="Times New Roman"/>
          <w:sz w:val="18"/>
          <w:szCs w:val="18"/>
          <w:color w:val="auto"/>
        </w:rPr>
        <w:t>for purposes of compliance with applicable “know your customer” and anti-money-laundering rules and regulations, including, without limitation, the PATRIOT Act and the Beneficial Ownership Regulation; and</w:t>
      </w:r>
    </w:p>
    <w:p>
      <w:pPr>
        <w:spacing w:after="0" w:line="155" w:lineRule="exact"/>
        <w:rPr>
          <w:sz w:val="20"/>
          <w:szCs w:val="20"/>
          <w:color w:val="auto"/>
        </w:rPr>
      </w:pPr>
    </w:p>
    <w:p>
      <w:pPr>
        <w:jc w:val="both"/>
        <w:ind w:firstLine="1176"/>
        <w:spacing w:after="0" w:line="271" w:lineRule="auto"/>
        <w:tabs>
          <w:tab w:leader="none" w:pos="1762"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any request therefor, such other information regarding the financial condition of the Company or any Subsidiary as the Administrative Agent may reasonably request (other than materials protected by the attorney-client privilege and materials which the Company or such Subsidiary, as applicable, may not disclose without violation of a confidentiality obligation binding upon it).</w:t>
      </w:r>
    </w:p>
    <w:p>
      <w:pPr>
        <w:spacing w:after="0" w:line="170"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auto"/>
        </w:rPr>
        <w:t>Documents required to be delivered pursuant to clauses (a), (b) and (d) of this Section 5.01 may be delivered electronically and if so delivered, shall be deemed to have been delivered on the date on which such documents are filed for public availability on the SEC’s Electronic Data Gathering and Retrieval System.</w:t>
      </w:r>
    </w:p>
    <w:p>
      <w:pPr>
        <w:sectPr>
          <w:pgSz w:w="11900" w:h="16838" w:orient="portrait"/>
          <w:cols w:equalWidth="0" w:num="1">
            <w:col w:w="11240"/>
          </w:cols>
          <w:pgMar w:left="320" w:top="634" w:right="339" w:bottom="1440" w:gutter="0" w:footer="0" w:header="0"/>
        </w:sectPr>
      </w:pPr>
    </w:p>
    <w:bookmarkStart w:id="156" w:name="page157"/>
    <w:bookmarkEnd w:id="156"/>
    <w:p>
      <w:pPr>
        <w:ind w:right="20"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u w:val="single" w:color="auto"/>
          <w:color w:val="000000"/>
        </w:rPr>
        <w:t>Notices of Material Events</w:t>
      </w:r>
      <w:r>
        <w:rPr>
          <w:rFonts w:ascii="Times New Roman" w:cs="Times New Roman" w:eastAsia="Times New Roman" w:hAnsi="Times New Roman"/>
          <w:sz w:val="18"/>
          <w:szCs w:val="18"/>
          <w:color w:val="000000"/>
        </w:rPr>
        <w:t>. Upon having knowledge thereof, the Company will furnish to the Administrative Agent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Lender prompt written notice of the following:</w:t>
      </w:r>
    </w:p>
    <w:p>
      <w:pPr>
        <w:spacing w:after="0" w:line="155" w:lineRule="exact"/>
        <w:rPr>
          <w:sz w:val="20"/>
          <w:szCs w:val="20"/>
          <w:color w:val="auto"/>
        </w:rPr>
      </w:pPr>
    </w:p>
    <w:p>
      <w:pPr>
        <w:ind w:left="1760" w:hanging="584"/>
        <w:spacing w:after="0"/>
        <w:tabs>
          <w:tab w:leader="none" w:pos="1760"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Default;</w:t>
      </w:r>
    </w:p>
    <w:p>
      <w:pPr>
        <w:spacing w:after="0" w:line="234" w:lineRule="exact"/>
        <w:rPr>
          <w:rFonts w:ascii="Times New Roman" w:cs="Times New Roman" w:eastAsia="Times New Roman" w:hAnsi="Times New Roman"/>
          <w:sz w:val="18"/>
          <w:szCs w:val="18"/>
          <w:color w:val="010000"/>
        </w:rPr>
      </w:pPr>
    </w:p>
    <w:p>
      <w:pPr>
        <w:ind w:right="20" w:firstLine="1176"/>
        <w:spacing w:after="0" w:line="287" w:lineRule="auto"/>
        <w:tabs>
          <w:tab w:leader="none" w:pos="1756"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Company or any Affiliate thereof that, if adversely determined, would reasonably be expected to result in a Material Adverse Effect;</w:t>
      </w:r>
    </w:p>
    <w:p>
      <w:pPr>
        <w:spacing w:after="0" w:line="155" w:lineRule="exact"/>
        <w:rPr>
          <w:rFonts w:ascii="Times New Roman" w:cs="Times New Roman" w:eastAsia="Times New Roman" w:hAnsi="Times New Roman"/>
          <w:sz w:val="18"/>
          <w:szCs w:val="18"/>
          <w:color w:val="010000"/>
        </w:rPr>
      </w:pPr>
    </w:p>
    <w:p>
      <w:pPr>
        <w:ind w:right="20" w:firstLine="1176"/>
        <w:spacing w:after="0" w:line="287" w:lineRule="auto"/>
        <w:tabs>
          <w:tab w:leader="none" w:pos="1758"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 and</w:t>
      </w:r>
    </w:p>
    <w:p>
      <w:pPr>
        <w:spacing w:after="0" w:line="155"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development that results in, or would reasonably be expected to result in, a Material Adverse Effect.</w:t>
      </w:r>
    </w:p>
    <w:p>
      <w:pPr>
        <w:spacing w:after="0" w:line="235" w:lineRule="exact"/>
        <w:rPr>
          <w:sz w:val="20"/>
          <w:szCs w:val="20"/>
          <w:color w:val="auto"/>
        </w:rPr>
      </w:pPr>
    </w:p>
    <w:p>
      <w:pPr>
        <w:jc w:val="both"/>
        <w:ind w:right="20" w:firstLine="1178"/>
        <w:spacing w:after="0" w:line="287"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55"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5.03. </w:t>
      </w:r>
      <w:r>
        <w:rPr>
          <w:rFonts w:ascii="Times New Roman" w:cs="Times New Roman" w:eastAsia="Times New Roman" w:hAnsi="Times New Roman"/>
          <w:sz w:val="18"/>
          <w:szCs w:val="18"/>
          <w:u w:val="single" w:color="auto"/>
          <w:color w:val="000000"/>
        </w:rPr>
        <w:t>Existence; Conduct of Business</w:t>
      </w:r>
      <w:r>
        <w:rPr>
          <w:rFonts w:ascii="Times New Roman" w:cs="Times New Roman" w:eastAsia="Times New Roman" w:hAnsi="Times New Roman"/>
          <w:sz w:val="18"/>
          <w:szCs w:val="18"/>
          <w:color w:val="000000"/>
        </w:rPr>
        <w:t>. The Company will, and will cause each of its Subsidiaries to, do or cause to be done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things reasonably necessary to preserve, renew and keep in full force and effect its legal existence and the rights, licenses, permits, privileges and franchises material to the conduct of its business except, in each case (other than the case of the foregoing requirements insofar as they relate to the legal existence of the Borrowers), to the extent that failure to do so would not reasonably be expected to result in a Material Adverse Effect;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prohibit any merger, consolidation, liquidation or dissolution permitted under Section 6.03. With respect to any Foreign Subsidiary Borrower organized under the laws of Luxembourg, (i) the central administration (</w:t>
      </w:r>
      <w:r>
        <w:rPr>
          <w:rFonts w:ascii="Times New Roman" w:cs="Times New Roman" w:eastAsia="Times New Roman" w:hAnsi="Times New Roman"/>
          <w:sz w:val="18"/>
          <w:szCs w:val="18"/>
          <w:i w:val="1"/>
          <w:iCs w:val="1"/>
          <w:color w:val="000000"/>
        </w:rPr>
        <w:t>administration centrale</w:t>
      </w:r>
      <w:r>
        <w:rPr>
          <w:rFonts w:ascii="Times New Roman" w:cs="Times New Roman" w:eastAsia="Times New Roman" w:hAnsi="Times New Roman"/>
          <w:sz w:val="18"/>
          <w:szCs w:val="18"/>
          <w:color w:val="000000"/>
        </w:rPr>
        <w:t>) and the “centre of main interests” (as that term is used in the Council Regulation (EC) n°1346/2000 of May 29, 2000 on insolvency proceedings) of such Foreign Subsidiary Borrower shall remain in Luxembourg and (ii) such Foreign Subsidiary Borrower will have no “establishment” (as that term is used in the Council Regulation (EC) n°1346/2000 of May 29, 2000 on insolvency proceedings) outside Luxembourg.</w:t>
      </w:r>
    </w:p>
    <w:p>
      <w:pPr>
        <w:spacing w:after="0" w:line="200"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5.04. </w:t>
      </w:r>
      <w:r>
        <w:rPr>
          <w:rFonts w:ascii="Times New Roman" w:cs="Times New Roman" w:eastAsia="Times New Roman" w:hAnsi="Times New Roman"/>
          <w:sz w:val="18"/>
          <w:szCs w:val="18"/>
          <w:u w:val="single" w:color="auto"/>
          <w:color w:val="000000"/>
        </w:rPr>
        <w:t>Payment of Obligations</w:t>
      </w:r>
      <w:r>
        <w:rPr>
          <w:rFonts w:ascii="Times New Roman" w:cs="Times New Roman" w:eastAsia="Times New Roman" w:hAnsi="Times New Roman"/>
          <w:sz w:val="18"/>
          <w:szCs w:val="18"/>
          <w:color w:val="000000"/>
        </w:rPr>
        <w:t>. The Company will, and will cause each of its Subsidiaries to, pay its Tax liabilities that, if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paid, could reasonably be expected to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84"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010000"/>
        </w:rPr>
        <w:t xml:space="preserve">SECTION 5.05. </w:t>
      </w:r>
      <w:r>
        <w:rPr>
          <w:rFonts w:ascii="Times New Roman" w:cs="Times New Roman" w:eastAsia="Times New Roman" w:hAnsi="Times New Roman"/>
          <w:sz w:val="18"/>
          <w:szCs w:val="18"/>
          <w:u w:val="single" w:color="auto"/>
          <w:color w:val="000000"/>
        </w:rPr>
        <w:t>Maintenance of Properties; Insurance</w:t>
      </w:r>
      <w:r>
        <w:rPr>
          <w:rFonts w:ascii="Times New Roman" w:cs="Times New Roman" w:eastAsia="Times New Roman" w:hAnsi="Times New Roman"/>
          <w:sz w:val="18"/>
          <w:szCs w:val="18"/>
          <w:color w:val="000000"/>
        </w:rPr>
        <w:t>. Except where the failure to do so would not reasonably be expected to result in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Adverse Effect, the Company will, and will cause each of its Subsidiaries to, (a) keep and maintain all property material to the conduct of its business in good working order and condition, ordinary wear and tear excepted and except for surplus and obsolete properties, and (b) maintain, with financially</w:t>
      </w:r>
    </w:p>
    <w:p>
      <w:pPr>
        <w:sectPr>
          <w:pgSz w:w="11900" w:h="16838" w:orient="portrait"/>
          <w:cols w:equalWidth="0" w:num="1">
            <w:col w:w="11260"/>
          </w:cols>
          <w:pgMar w:left="320" w:top="855" w:right="319" w:bottom="1440" w:gutter="0" w:footer="0" w:header="0"/>
        </w:sectPr>
      </w:pPr>
    </w:p>
    <w:bookmarkStart w:id="157" w:name="page158"/>
    <w:bookmarkEnd w:id="157"/>
    <w:p>
      <w:pPr>
        <w:jc w:val="both"/>
        <w:ind w:left="2" w:firstLine="1178"/>
        <w:spacing w:after="0" w:line="287" w:lineRule="auto"/>
        <w:rPr>
          <w:sz w:val="20"/>
          <w:szCs w:val="20"/>
          <w:color w:val="auto"/>
        </w:rPr>
      </w:pPr>
      <w:r>
        <w:rPr>
          <w:rFonts w:ascii="Times New Roman" w:cs="Times New Roman" w:eastAsia="Times New Roman" w:hAnsi="Times New Roman"/>
          <w:sz w:val="18"/>
          <w:szCs w:val="18"/>
          <w:color w:val="auto"/>
        </w:rPr>
        <w:t>sound and reputable insurance companies, insurance on such of its property and in such amounts and against such risks as are customarily maintained by companies engaged in the same or similar businesses operating in the same or similar locations.</w:t>
      </w:r>
    </w:p>
    <w:p>
      <w:pPr>
        <w:spacing w:after="0" w:line="155" w:lineRule="exact"/>
        <w:rPr>
          <w:sz w:val="20"/>
          <w:szCs w:val="20"/>
          <w:color w:val="auto"/>
        </w:rPr>
      </w:pPr>
    </w:p>
    <w:p>
      <w:pPr>
        <w:jc w:val="both"/>
        <w:ind w:left="2"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5.06. </w:t>
      </w:r>
      <w:r>
        <w:rPr>
          <w:rFonts w:ascii="Times New Roman" w:cs="Times New Roman" w:eastAsia="Times New Roman" w:hAnsi="Times New Roman"/>
          <w:sz w:val="18"/>
          <w:szCs w:val="18"/>
          <w:u w:val="single" w:color="auto"/>
          <w:color w:val="000000"/>
        </w:rPr>
        <w:t>Books and Records; Inspection Rights</w:t>
      </w:r>
      <w:r>
        <w:rPr>
          <w:rFonts w:ascii="Times New Roman" w:cs="Times New Roman" w:eastAsia="Times New Roman" w:hAnsi="Times New Roman"/>
          <w:sz w:val="18"/>
          <w:szCs w:val="18"/>
          <w:color w:val="000000"/>
        </w:rPr>
        <w:t>. The Company will, and will cause each of its Subsidiaries to, keep proper books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record and account in which entries in conformity in all material respects with all applicable laws, rules and regulations of any Governmental Authority are made of all dealings and transactions in relation to its business and activities. The Company will, and will cause each of its Subsidiaries to, on an annual basis at the request of the Administrative Agent (or at any time after the occurrence and during the continuance of an Event of Default), permit any representatives designated by the Administrative Agent or any Lender (prior to the occurrence or continuation of an Event of Default, at the Administrative Agent’s or such Lender’s expense, as applicable, unless otherwise agreed to by the Administrative Agent or such Lender, as applicable, and the Company, and following the occurrence or continuation of an Event of Default, at the Company’s expense), upon reasonable prior notice, to visit and inspect its properties, to examine and make extracts from its books and records (other than materials protected by the attorney-client privilege and materials which the Company or such Subsidiary, as applicable, may not disclose without violation of a confidentiality obligation binding upon it), and to discuss its affairs, finances and condition with its officers and independent accountants, so long as afforded opportunity to be present, all during reasonable business hours. It is understood that so long as no Event of Default has occurred and is continuing, such visits and inspections shall be coordinated through the Administrative Agent.</w:t>
      </w:r>
    </w:p>
    <w:p>
      <w:pPr>
        <w:spacing w:after="0" w:line="204" w:lineRule="exact"/>
        <w:rPr>
          <w:sz w:val="20"/>
          <w:szCs w:val="20"/>
          <w:color w:val="auto"/>
        </w:rPr>
      </w:pPr>
    </w:p>
    <w:p>
      <w:pPr>
        <w:jc w:val="both"/>
        <w:ind w:left="2"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5.07. </w:t>
      </w:r>
      <w:r>
        <w:rPr>
          <w:rFonts w:ascii="Times New Roman" w:cs="Times New Roman" w:eastAsia="Times New Roman" w:hAnsi="Times New Roman"/>
          <w:sz w:val="18"/>
          <w:szCs w:val="18"/>
          <w:u w:val="single" w:color="auto"/>
          <w:color w:val="000000"/>
        </w:rPr>
        <w:t>Compliance with Laws and Material Contractual Obligations</w:t>
      </w:r>
      <w:r>
        <w:rPr>
          <w:rFonts w:ascii="Times New Roman" w:cs="Times New Roman" w:eastAsia="Times New Roman" w:hAnsi="Times New Roman"/>
          <w:sz w:val="18"/>
          <w:szCs w:val="18"/>
          <w:color w:val="000000"/>
        </w:rPr>
        <w:t>. The Company will, and will cause each of its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(i) comply with all laws, rules, regulations and orders of any Governmental Authority, including the Luxembourg Domiciliation Law, applicable to it or its property, except where the failure to do so, individually or in the aggregate, would not reasonably be expected to result in a Material Adverse Effect and</w:t>
      </w:r>
    </w:p>
    <w:p>
      <w:pPr>
        <w:spacing w:after="0" w:line="1" w:lineRule="exact"/>
        <w:rPr>
          <w:sz w:val="20"/>
          <w:szCs w:val="20"/>
          <w:color w:val="auto"/>
        </w:rPr>
      </w:pPr>
    </w:p>
    <w:p>
      <w:pPr>
        <w:jc w:val="both"/>
        <w:ind w:left="2" w:hanging="2"/>
        <w:spacing w:after="0" w:line="254" w:lineRule="auto"/>
        <w:tabs>
          <w:tab w:leader="none" w:pos="29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in all material respects its obligations under material agreements to which it is a party, in each case except where the failure to do so, individually or in the aggregate, would not reasonably be expected to result in a Material Adverse Effect. The Company will maintain in effect and enforce policies and procedures reasonably designed to ensure compliance in all material respects by the Company, its Subsidiaries and their respective directors, officers, employees and agents with Anti-Corruption Laws and applicable Sanctions.</w:t>
      </w:r>
    </w:p>
    <w:p>
      <w:pPr>
        <w:spacing w:after="0" w:line="196" w:lineRule="exact"/>
        <w:rPr>
          <w:sz w:val="20"/>
          <w:szCs w:val="20"/>
          <w:color w:val="auto"/>
        </w:rPr>
      </w:pPr>
    </w:p>
    <w:p>
      <w:pPr>
        <w:ind w:left="1182"/>
        <w:spacing w:after="0"/>
        <w:tabs>
          <w:tab w:leader="none" w:pos="2501" w:val="left"/>
        </w:tabs>
        <w:rPr>
          <w:sz w:val="20"/>
          <w:szCs w:val="20"/>
          <w:color w:val="auto"/>
        </w:rPr>
      </w:pPr>
      <w:r>
        <w:rPr>
          <w:rFonts w:ascii="Times New Roman" w:cs="Times New Roman" w:eastAsia="Times New Roman" w:hAnsi="Times New Roman"/>
          <w:sz w:val="18"/>
          <w:szCs w:val="18"/>
          <w:color w:val="010000"/>
        </w:rPr>
        <w:t>SECTION 5.08.</w:t>
      </w:r>
      <w:r>
        <w:rPr>
          <w:sz w:val="20"/>
          <w:szCs w:val="20"/>
          <w:color w:val="auto"/>
        </w:rPr>
        <w:tab/>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ind w:left="2" w:firstLine="1176"/>
        <w:spacing w:after="0" w:line="264" w:lineRule="auto"/>
        <w:tabs>
          <w:tab w:leader="none" w:pos="1760"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proceeds of the Revolving Loans and the Delayed Draw Term Loans will be used only to finance the working capital needs, capital expenditures, Permitted Acquisitions, Investments permitted under Section 6.04, Restricted Payments permitted under Section 6.06 and other general corporate purposes of the Company and its Subsidiaries, including to redeem the Company’s 3.000% Senior Notes due 2022.</w:t>
      </w:r>
    </w:p>
    <w:p>
      <w:pPr>
        <w:spacing w:after="0" w:line="188" w:lineRule="exact"/>
        <w:rPr>
          <w:rFonts w:ascii="Times New Roman" w:cs="Times New Roman" w:eastAsia="Times New Roman" w:hAnsi="Times New Roman"/>
          <w:sz w:val="18"/>
          <w:szCs w:val="18"/>
          <w:color w:val="010000"/>
        </w:rPr>
      </w:pPr>
    </w:p>
    <w:p>
      <w:pPr>
        <w:jc w:val="both"/>
        <w:ind w:left="2" w:firstLine="1176"/>
        <w:spacing w:after="0" w:line="264" w:lineRule="auto"/>
        <w:tabs>
          <w:tab w:leader="none" w:pos="1757"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part of the proceeds of any Loan will be used, whether directly or indirectly, for the purpose of purchasing or carrying, or to extend credit to others for the purpose of purchasing or carrying any “margin stock” as defined in Regulation T, U or X of the Board or for any other purpose that entails a violation of any such regulations.</w:t>
      </w:r>
    </w:p>
    <w:p>
      <w:pPr>
        <w:spacing w:after="0" w:line="188" w:lineRule="exact"/>
        <w:rPr>
          <w:rFonts w:ascii="Times New Roman" w:cs="Times New Roman" w:eastAsia="Times New Roman" w:hAnsi="Times New Roman"/>
          <w:sz w:val="18"/>
          <w:szCs w:val="18"/>
          <w:color w:val="010000"/>
        </w:rPr>
      </w:pPr>
    </w:p>
    <w:p>
      <w:pPr>
        <w:jc w:val="both"/>
        <w:ind w:left="2" w:firstLine="1176"/>
        <w:spacing w:after="0" w:line="264" w:lineRule="auto"/>
        <w:tabs>
          <w:tab w:leader="none" w:pos="1760"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Commercial Letters of Credit shall be used solely to finance purchases of goods by the Company and its Subsidiaries in the ordinary course of their business, and the Standby Letters of Credit shall be used solely for the purposes described in the definition of such term in Section 1.01.</w:t>
      </w:r>
    </w:p>
    <w:p>
      <w:pPr>
        <w:spacing w:after="0" w:line="188" w:lineRule="exact"/>
        <w:rPr>
          <w:rFonts w:ascii="Times New Roman" w:cs="Times New Roman" w:eastAsia="Times New Roman" w:hAnsi="Times New Roman"/>
          <w:sz w:val="18"/>
          <w:szCs w:val="18"/>
          <w:color w:val="010000"/>
        </w:rPr>
      </w:pPr>
    </w:p>
    <w:p>
      <w:pPr>
        <w:jc w:val="both"/>
        <w:ind w:left="2" w:firstLine="1176"/>
        <w:spacing w:after="0" w:line="264" w:lineRule="auto"/>
        <w:tabs>
          <w:tab w:leader="none" w:pos="1757"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Borrower will request any Borrowing or Letter of Credit, and no Borrower shall use, and the Company shall use reasonable best efforts to ensure that its Subsidiaries and its or their respective directors, officers, employees and agents shall not use, the proceeds of any Borrowing or Letter of Credit (i) in furtherance of an offer, payment, promise to pay, or authorization of the payment or giving of</w:t>
      </w:r>
    </w:p>
    <w:p>
      <w:pPr>
        <w:sectPr>
          <w:pgSz w:w="11900" w:h="16838" w:orient="portrait"/>
          <w:cols w:equalWidth="0" w:num="1">
            <w:col w:w="11242"/>
          </w:cols>
          <w:pgMar w:left="318" w:top="855" w:right="339" w:bottom="1440" w:gutter="0" w:footer="0" w:header="0"/>
        </w:sectPr>
      </w:pPr>
    </w:p>
    <w:bookmarkStart w:id="158" w:name="page159"/>
    <w:bookmarkEnd w:id="158"/>
    <w:p>
      <w:pPr>
        <w:jc w:val="both"/>
        <w:spacing w:after="0" w:line="264" w:lineRule="auto"/>
        <w:rPr>
          <w:sz w:val="20"/>
          <w:szCs w:val="20"/>
          <w:color w:val="auto"/>
        </w:rPr>
      </w:pPr>
      <w:r>
        <w:rPr>
          <w:rFonts w:ascii="Times New Roman" w:cs="Times New Roman" w:eastAsia="Times New Roman" w:hAnsi="Times New Roman"/>
          <w:sz w:val="18"/>
          <w:szCs w:val="18"/>
          <w:color w:val="auto"/>
        </w:rPr>
        <w:t>money, or anything else of value, to any Person in violation of any Anti-Corruption Laws, (ii) for the purpose of funding, financing or facilitating any activities, business or transaction of or with any Sanctioned Person, or in any Embargoed Country, except to the extent permissible for a Person required to comply with Sanctions or (iii) in any manner that would result in the violation of any Sanctions applicable to any party hereto.</w:t>
      </w:r>
    </w:p>
    <w:p>
      <w:pPr>
        <w:sectPr>
          <w:pgSz w:w="11900" w:h="16838" w:orient="portrait"/>
          <w:cols w:equalWidth="0" w:num="1">
            <w:col w:w="11240"/>
          </w:cols>
          <w:pgMar w:left="320" w:top="634" w:right="339" w:bottom="1440" w:gutter="0" w:footer="0" w:header="0"/>
        </w:sectPr>
      </w:pPr>
    </w:p>
    <w:bookmarkStart w:id="159" w:name="page160"/>
    <w:bookmarkEnd w:id="159"/>
    <w:p>
      <w:pPr>
        <w:jc w:val="center"/>
        <w:ind w:left="1180"/>
        <w:spacing w:after="0"/>
        <w:rPr>
          <w:sz w:val="20"/>
          <w:szCs w:val="20"/>
          <w:color w:val="auto"/>
        </w:rPr>
      </w:pPr>
      <w:r>
        <w:rPr>
          <w:rFonts w:ascii="Times New Roman" w:cs="Times New Roman" w:eastAsia="Times New Roman" w:hAnsi="Times New Roman"/>
          <w:sz w:val="18"/>
          <w:szCs w:val="18"/>
          <w:color w:val="010000"/>
        </w:rPr>
        <w:t>ARTICLE VI</w:t>
      </w:r>
    </w:p>
    <w:p>
      <w:pPr>
        <w:spacing w:after="0" w:line="27"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9"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until the Commitments have expired or terminated and the principal of and interest on each Loan and all fees payable hereunder have been paid in full and all Letters of Credit have expired or terminated, in each case, without any pending draw, or cash collateralized in accordance with Section 2.06(j), and all LC Disbursements shall have been reimbursed, the Borrowers covenant and agrees with the Lenders that:</w:t>
      </w:r>
    </w:p>
    <w:p>
      <w:pPr>
        <w:spacing w:after="0" w:line="192" w:lineRule="exact"/>
        <w:rPr>
          <w:sz w:val="20"/>
          <w:szCs w:val="20"/>
          <w:color w:val="auto"/>
        </w:rPr>
      </w:pPr>
    </w:p>
    <w:p>
      <w:pPr>
        <w:ind w:left="1180"/>
        <w:spacing w:after="0"/>
        <w:tabs>
          <w:tab w:leader="none" w:pos="2500" w:val="left"/>
          <w:tab w:leader="none" w:pos="3660" w:val="left"/>
        </w:tabs>
        <w:rPr>
          <w:sz w:val="20"/>
          <w:szCs w:val="20"/>
          <w:color w:val="auto"/>
        </w:rPr>
      </w:pPr>
      <w:r>
        <w:rPr>
          <w:rFonts w:ascii="Times New Roman" w:cs="Times New Roman" w:eastAsia="Times New Roman" w:hAnsi="Times New Roman"/>
          <w:sz w:val="18"/>
          <w:szCs w:val="18"/>
          <w:color w:val="010000"/>
        </w:rPr>
        <w:t>SECTION 6.01.</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will not, and will not permit any Subsidiary to, create, incur, assume or permit to exist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15" w:lineRule="exact"/>
        <w:rPr>
          <w:sz w:val="20"/>
          <w:szCs w:val="20"/>
          <w:color w:val="auto"/>
        </w:rPr>
      </w:pPr>
    </w:p>
    <w:p>
      <w:pPr>
        <w:ind w:left="1760" w:hanging="584"/>
        <w:spacing w:after="0"/>
        <w:tabs>
          <w:tab w:leader="none" w:pos="1760"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Obligations;</w:t>
      </w:r>
    </w:p>
    <w:p>
      <w:pPr>
        <w:spacing w:after="0" w:line="234" w:lineRule="exact"/>
        <w:rPr>
          <w:rFonts w:ascii="Times New Roman" w:cs="Times New Roman" w:eastAsia="Times New Roman" w:hAnsi="Times New Roman"/>
          <w:sz w:val="18"/>
          <w:szCs w:val="18"/>
          <w:color w:val="010000"/>
        </w:rPr>
      </w:pPr>
    </w:p>
    <w:p>
      <w:pPr>
        <w:ind w:right="20" w:firstLine="1176"/>
        <w:spacing w:after="0" w:line="273" w:lineRule="auto"/>
        <w:tabs>
          <w:tab w:leader="none" w:pos="1756"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existing on the Effective Date and extensions, renewals and replacements of any such Indebtedness that do not increase the outstanding principal amount thereof or shorten the final maturity or weighted average life to maturity thereof;</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the Company to any Subsidiary and of any Subsidiary to the Company or any other Subsidiary;</w:t>
      </w:r>
    </w:p>
    <w:p>
      <w:pPr>
        <w:spacing w:after="0" w:line="222" w:lineRule="exact"/>
        <w:rPr>
          <w:rFonts w:ascii="Times New Roman" w:cs="Times New Roman" w:eastAsia="Times New Roman" w:hAnsi="Times New Roman"/>
          <w:sz w:val="18"/>
          <w:szCs w:val="18"/>
          <w:color w:val="010000"/>
        </w:rPr>
      </w:pPr>
    </w:p>
    <w:p>
      <w:pPr>
        <w:jc w:val="both"/>
        <w:ind w:right="20" w:firstLine="1176"/>
        <w:spacing w:after="0" w:line="261" w:lineRule="auto"/>
        <w:tabs>
          <w:tab w:leader="none" w:pos="1756"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Guarantees by (i) the Company of Indebtedness of any Subsidiary, (ii) any Subsidiary of Indebtedness of the Company or any other Subsidiary, (iii) by the Company or any Subsidiary of Indebtedness incurred in connection with the ownership, development, leasing, acquisition, construction or improvement of the Corporate Headquarters and (iv) the Company of Indebtedness of any joint venture;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such Guarantees incurred pursuant to clause (iv) shall not exceed $150,000,000 in the aggregate;</w:t>
      </w:r>
    </w:p>
    <w:p>
      <w:pPr>
        <w:spacing w:after="0" w:line="191" w:lineRule="exact"/>
        <w:rPr>
          <w:rFonts w:ascii="Times New Roman" w:cs="Times New Roman" w:eastAsia="Times New Roman" w:hAnsi="Times New Roman"/>
          <w:sz w:val="18"/>
          <w:szCs w:val="18"/>
          <w:color w:val="010000"/>
        </w:rPr>
      </w:pPr>
    </w:p>
    <w:p>
      <w:pPr>
        <w:jc w:val="both"/>
        <w:ind w:right="20" w:firstLine="1176"/>
        <w:spacing w:after="0" w:line="256" w:lineRule="auto"/>
        <w:tabs>
          <w:tab w:leader="none" w:pos="1758"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the Company or any Subsidiary incurred to finance or refinance the acquisition, ownership, development, construction, improvement or leasing of any real property (including the Corporate Headquarters), fixed or capital assets, including Finance Lease Liabilities, and extensions, renewals and replacements of any such Indebtedness that do not increase the outstanding principal amount thereof; provided that such Indebtedness is incurred no more than 90 days prior to or within 90 days after such ownership, development, leasing, acquisition or the completion of such construction or improvement;</w:t>
      </w:r>
    </w:p>
    <w:p>
      <w:pPr>
        <w:spacing w:after="0" w:line="196" w:lineRule="exact"/>
        <w:rPr>
          <w:rFonts w:ascii="Times New Roman" w:cs="Times New Roman" w:eastAsia="Times New Roman" w:hAnsi="Times New Roman"/>
          <w:sz w:val="18"/>
          <w:szCs w:val="18"/>
          <w:color w:val="010000"/>
        </w:rPr>
      </w:pPr>
    </w:p>
    <w:p>
      <w:pPr>
        <w:ind w:right="20" w:firstLine="1176"/>
        <w:spacing w:after="0" w:line="273" w:lineRule="auto"/>
        <w:tabs>
          <w:tab w:leader="none" w:pos="1762"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acquired or assumed in Permitted Acquisitions and extensions, renewals and replacements of any such indebtedness that do not increase the outstanding</w:t>
      </w:r>
    </w:p>
    <w:p>
      <w:pPr>
        <w:sectPr>
          <w:pgSz w:w="11900" w:h="16838" w:orient="portrait"/>
          <w:cols w:equalWidth="0" w:num="1">
            <w:col w:w="11260"/>
          </w:cols>
          <w:pgMar w:left="320" w:top="634" w:right="319" w:bottom="1440" w:gutter="0" w:footer="0" w:header="0"/>
        </w:sectPr>
      </w:pPr>
    </w:p>
    <w:bookmarkStart w:id="160" w:name="page161"/>
    <w:bookmarkEnd w:id="160"/>
    <w:p>
      <w:pPr>
        <w:jc w:val="center"/>
        <w:ind w:right="-39"/>
        <w:spacing w:after="0"/>
        <w:rPr>
          <w:sz w:val="20"/>
          <w:szCs w:val="20"/>
          <w:color w:val="auto"/>
        </w:rPr>
      </w:pPr>
      <w:r>
        <w:rPr>
          <w:rFonts w:ascii="Times New Roman" w:cs="Times New Roman" w:eastAsia="Times New Roman" w:hAnsi="Times New Roman"/>
          <w:sz w:val="18"/>
          <w:szCs w:val="18"/>
          <w:color w:val="auto"/>
        </w:rPr>
        <w:t>principal amount thereof or shorten the final maturity or weighted average life to maturity thereof or have different obligors;</w:t>
      </w:r>
    </w:p>
    <w:p>
      <w:pPr>
        <w:spacing w:after="0" w:line="235" w:lineRule="exact"/>
        <w:rPr>
          <w:sz w:val="20"/>
          <w:szCs w:val="20"/>
          <w:color w:val="auto"/>
        </w:rPr>
      </w:pPr>
    </w:p>
    <w:p>
      <w:pPr>
        <w:ind w:firstLine="1176"/>
        <w:spacing w:after="0" w:line="273"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Priority Indebtedness (excluding any Indebtedness permitted by Sections 6.01(e) and (f)) in an aggregate principal amount at any one time outstanding not to exceed 10% of the Company’s then Consolidated Net Worth;</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endorsements for collection, deposit or negotiation and warranties of products or services, in each case incurred in the ordinary</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course of business;</w:t>
      </w:r>
    </w:p>
    <w:p>
      <w:pPr>
        <w:spacing w:after="0" w:line="20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 respect of letters of credit in the ordinary course of business (other than Letters of Credit);</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under Swap Agreements not entered into for speculative purposes;</w:t>
      </w:r>
    </w:p>
    <w:p>
      <w:pPr>
        <w:spacing w:after="0" w:line="222"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unsecured Indebtedness (excluding any Indebtedness permitted by Section 6.01(f)), not otherwise permitted by this Section, of any Borrower so long as on a pro forma basis after giving effect to the incurrence of such Indebtedness, the Net Leverage Ratio is not greater than 4.00 to 1.00;</w:t>
      </w:r>
    </w:p>
    <w:p>
      <w:pPr>
        <w:spacing w:after="0" w:line="167" w:lineRule="exact"/>
        <w:rPr>
          <w:rFonts w:ascii="Times New Roman" w:cs="Times New Roman" w:eastAsia="Times New Roman" w:hAnsi="Times New Roman"/>
          <w:sz w:val="18"/>
          <w:szCs w:val="18"/>
          <w:color w:val="010000"/>
        </w:rPr>
      </w:pPr>
    </w:p>
    <w:p>
      <w:pPr>
        <w:ind w:firstLine="1176"/>
        <w:spacing w:after="0" w:line="273" w:lineRule="auto"/>
        <w:tabs>
          <w:tab w:leader="none" w:pos="1765"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under any interest rate protection agreements or foreign exchange hedges (regardless of whether such hedging obligations are subject to hedge accounting) incurred in the ordinary course of business and not for speculative purposes;</w:t>
      </w:r>
    </w:p>
    <w:p>
      <w:pPr>
        <w:spacing w:after="0" w:line="179"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7"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8"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 respect of performance bonds, bid bonds, appeal bonds, surety bonds, performance and completion guarantees, import and export custom and duty guaranties and similar obligations, or obligations in respect of letters of credit, bank acceptances or guarantees or similar instruments related thereto, in each case provided in the ordinary course of business;</w:t>
      </w:r>
    </w:p>
    <w:p>
      <w:pPr>
        <w:spacing w:after="0" w:line="175"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contingent liabilities in respect of any indemnification, adjustment of purchase price, earn-out, non-compete, consulting, deferred compensation, seller indebtedness and similar obligations of the Company and its Subsidiaries incurred in connection with Permitted Acquisitions and (ii) Indebtedness incurred by the Company or its Subsidiaries in a Permitted Acquisition under agreements providing for earn-outs or the adjustment of the purchase price or similar adjustments;</w:t>
      </w:r>
    </w:p>
    <w:p>
      <w:pPr>
        <w:spacing w:after="0" w:line="191"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owed to any Person providing property, casualty or liability insurance to the Company or any of its Subsidiary, so long as such Indebtedness shall not be in excess of the amount of the unpaid cost of, and shall be incurred only to defer the cost of, such insurance for the year in which such Indebtedness is incurred and such Indebtedness shall be outstanding only during such year;</w:t>
      </w:r>
    </w:p>
    <w:p>
      <w:pPr>
        <w:spacing w:after="0" w:line="175"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(other than credit or purchase cards) is extinguished</w:t>
      </w:r>
    </w:p>
    <w:p>
      <w:pPr>
        <w:sectPr>
          <w:pgSz w:w="11900" w:h="16838" w:orient="portrait"/>
          <w:cols w:equalWidth="0" w:num="1">
            <w:col w:w="11240"/>
          </w:cols>
          <w:pgMar w:left="320" w:top="855" w:right="339" w:bottom="1440" w:gutter="0" w:footer="0" w:header="0"/>
        </w:sectPr>
      </w:pPr>
    </w:p>
    <w:bookmarkStart w:id="161" w:name="page162"/>
    <w:bookmarkEnd w:id="161"/>
    <w:p>
      <w:pPr>
        <w:ind w:right="160" w:firstLine="1178"/>
        <w:spacing w:after="0" w:line="287" w:lineRule="auto"/>
        <w:rPr>
          <w:sz w:val="20"/>
          <w:szCs w:val="20"/>
          <w:color w:val="auto"/>
        </w:rPr>
      </w:pPr>
      <w:r>
        <w:rPr>
          <w:rFonts w:ascii="Times New Roman" w:cs="Times New Roman" w:eastAsia="Times New Roman" w:hAnsi="Times New Roman"/>
          <w:sz w:val="18"/>
          <w:szCs w:val="18"/>
          <w:color w:val="auto"/>
        </w:rPr>
        <w:t>within three (3) Business Days of its incurrence and (ii) such Indebtedness in respect of credit or purchase cards is extinguished within 90 days from its incurrence;</w:t>
      </w:r>
    </w:p>
    <w:p>
      <w:pPr>
        <w:spacing w:after="0" w:line="155" w:lineRule="exact"/>
        <w:rPr>
          <w:sz w:val="20"/>
          <w:szCs w:val="20"/>
          <w:color w:val="auto"/>
        </w:rPr>
      </w:pPr>
    </w:p>
    <w:p>
      <w:pPr>
        <w:ind w:left="1760" w:hanging="584"/>
        <w:spacing w:after="0"/>
        <w:tabs>
          <w:tab w:leader="none" w:pos="1760"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representing deferred compensation to employees of the Company and its Subsidiaries; and</w:t>
      </w:r>
    </w:p>
    <w:p>
      <w:pPr>
        <w:spacing w:after="0" w:line="234"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60"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incurred in connection with the acquisition of joint ventures in an aggregate amount not to exceed the greater of (i) $150,000,000 and (ii) 2.75% of Total Assets (determined at the time of each such incurrence by reference to the Company’s financial statements most recently delivered pursuant to Section 5.01(a) or (b) or, if prior to the date of the delivery of the first financial statements to be delivered pursuant to Section 5.01(a) or (b), the most recent financial statements referred to in Section 3.04(a)).</w:t>
      </w:r>
    </w:p>
    <w:p>
      <w:pPr>
        <w:spacing w:after="0" w:line="179" w:lineRule="exact"/>
        <w:rPr>
          <w:sz w:val="20"/>
          <w:szCs w:val="20"/>
          <w:color w:val="auto"/>
        </w:rPr>
      </w:pPr>
    </w:p>
    <w:p>
      <w:pPr>
        <w:jc w:val="both"/>
        <w:ind w:firstLine="1178"/>
        <w:spacing w:after="0" w:line="271" w:lineRule="auto"/>
        <w:rPr>
          <w:sz w:val="20"/>
          <w:szCs w:val="20"/>
          <w:color w:val="auto"/>
        </w:rPr>
      </w:pPr>
      <w:r>
        <w:rPr>
          <w:rFonts w:ascii="Times New Roman" w:cs="Times New Roman" w:eastAsia="Times New Roman" w:hAnsi="Times New Roman"/>
          <w:sz w:val="18"/>
          <w:szCs w:val="18"/>
          <w:color w:val="auto"/>
        </w:rPr>
        <w:t>For purposes of this subsection 6.01, any Person becoming a Subsidiary of the Company after the Effective Date shall be deemed to have incurred all of its then outstanding Indebtedness at the time it becomes a Subsidiary, and any Indebtedness assumed by the Company or any of its Subsidiaries shall be deemed to have been incurred on the date of assumption.</w:t>
      </w:r>
    </w:p>
    <w:p>
      <w:pPr>
        <w:spacing w:after="0" w:line="170" w:lineRule="exact"/>
        <w:rPr>
          <w:sz w:val="20"/>
          <w:szCs w:val="20"/>
          <w:color w:val="auto"/>
        </w:rPr>
      </w:pPr>
    </w:p>
    <w:p>
      <w:pPr>
        <w:jc w:val="both"/>
        <w:ind w:firstLine="1178"/>
        <w:spacing w:after="0" w:line="264" w:lineRule="auto"/>
        <w:rPr>
          <w:sz w:val="20"/>
          <w:szCs w:val="20"/>
          <w:color w:val="auto"/>
        </w:rPr>
      </w:pPr>
      <w:r>
        <w:rPr>
          <w:rFonts w:ascii="Times New Roman" w:cs="Times New Roman" w:eastAsia="Times New Roman" w:hAnsi="Times New Roman"/>
          <w:sz w:val="18"/>
          <w:szCs w:val="18"/>
          <w:color w:val="010000"/>
        </w:rPr>
        <w:t xml:space="preserve">SECTION 6.02. </w:t>
      </w:r>
      <w:r>
        <w:rPr>
          <w:rFonts w:ascii="Times New Roman" w:cs="Times New Roman" w:eastAsia="Times New Roman" w:hAnsi="Times New Roman"/>
          <w:sz w:val="18"/>
          <w:szCs w:val="18"/>
          <w:u w:val="single" w:color="auto"/>
          <w:color w:val="000000"/>
        </w:rPr>
        <w:t>Liens</w:t>
      </w:r>
      <w:r>
        <w:rPr>
          <w:rFonts w:ascii="Times New Roman" w:cs="Times New Roman" w:eastAsia="Times New Roman" w:hAnsi="Times New Roman"/>
          <w:sz w:val="18"/>
          <w:szCs w:val="18"/>
          <w:color w:val="000000"/>
        </w:rPr>
        <w:t>. The Company will not, and will not permit any Subsidiary to, create, incur, assume or permit to exist any Lien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property or asset now owned or hereafter acquired by it, or assign or sell any income or revenues (including accounts receivable) or rights in respect of any thereof, except:</w:t>
      </w:r>
    </w:p>
    <w:p>
      <w:pPr>
        <w:spacing w:after="0" w:line="188" w:lineRule="exact"/>
        <w:rPr>
          <w:sz w:val="20"/>
          <w:szCs w:val="20"/>
          <w:color w:val="auto"/>
        </w:rPr>
      </w:pPr>
    </w:p>
    <w:p>
      <w:pPr>
        <w:ind w:left="1760" w:hanging="584"/>
        <w:spacing w:after="0"/>
        <w:tabs>
          <w:tab w:leader="none" w:pos="176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Permitted Encumbrances;</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existing on the Effective Date and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010000"/>
        </w:rPr>
      </w:pPr>
    </w:p>
    <w:p>
      <w:pPr>
        <w:ind w:firstLine="1176"/>
        <w:spacing w:after="0" w:line="287" w:lineRule="auto"/>
        <w:tabs>
          <w:tab w:leader="none" w:pos="1758"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Lien on any property or asset of the Company or any Subsidiary securing Indebtedness permitted by Section 6.01(e) incurred to own, develop, lease, acquire, construct or improve such property or asset;</w:t>
      </w:r>
    </w:p>
    <w:p>
      <w:pPr>
        <w:spacing w:after="0" w:line="155"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6"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solely constituting the right of any other Person to a share of any licensing royalties (pursuant to a licensing agreement or other related agreement entered into by the Company or any of its Subsidiaries with such Person in the ordinary course of the Company’s or such Subsidiary’s business) otherwise payable to the Company or any of its Subsidiaries, provided that such right shall have been conveyed to such Person for consideration received by the Company or such Subsidiary on an arm’s-length basis;</w:t>
      </w:r>
    </w:p>
    <w:p>
      <w:pPr>
        <w:spacing w:after="0" w:line="191" w:lineRule="exact"/>
        <w:rPr>
          <w:rFonts w:ascii="Times New Roman" w:cs="Times New Roman" w:eastAsia="Times New Roman" w:hAnsi="Times New Roman"/>
          <w:sz w:val="18"/>
          <w:szCs w:val="18"/>
          <w:color w:val="010000"/>
        </w:rPr>
      </w:pPr>
    </w:p>
    <w:p>
      <w:pPr>
        <w:ind w:firstLine="1176"/>
        <w:spacing w:after="0" w:line="273" w:lineRule="auto"/>
        <w:tabs>
          <w:tab w:leader="none" w:pos="1758"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from precautionary Uniform Commercial Code financing statement filings with respect to Operating Leases entered into by the Company or any of its Subsidiaries in the ordinary course of business;</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Indebtedness described in clause (a) of the definition of Priority Indebtedness;</w:t>
      </w:r>
    </w:p>
    <w:p>
      <w:pPr>
        <w:spacing w:after="0" w:line="222"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6"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Liens securing Indebtedness permitted under Section 6.01(c) and (ii) Liens securing Indebtedness permitted under Section 6.01(f), provided that, for purposes of this clause (ii), (x) such Lien is not created in contemplation of or in connection with the applicable Permitted Acquisition, (y) such Lien shall not apply to any property or assets of the Company or any Subsidiary other than the Subsidiary or assets being acquired pursuant to such Permitted</w:t>
      </w:r>
    </w:p>
    <w:p>
      <w:pPr>
        <w:sectPr>
          <w:pgSz w:w="11900" w:h="16838" w:orient="portrait"/>
          <w:cols w:equalWidth="0" w:num="1">
            <w:col w:w="11240"/>
          </w:cols>
          <w:pgMar w:left="320" w:top="855" w:right="339" w:bottom="1440" w:gutter="0" w:footer="0" w:header="0"/>
        </w:sectPr>
      </w:pPr>
    </w:p>
    <w:bookmarkStart w:id="162" w:name="page163"/>
    <w:bookmarkEnd w:id="162"/>
    <w:p>
      <w:pPr>
        <w:ind w:left="1180"/>
        <w:spacing w:after="0"/>
        <w:rPr>
          <w:sz w:val="20"/>
          <w:szCs w:val="20"/>
          <w:color w:val="auto"/>
        </w:rPr>
      </w:pPr>
      <w:r>
        <w:rPr>
          <w:rFonts w:ascii="Times New Roman" w:cs="Times New Roman" w:eastAsia="Times New Roman" w:hAnsi="Times New Roman"/>
          <w:sz w:val="18"/>
          <w:szCs w:val="18"/>
          <w:color w:val="auto"/>
        </w:rPr>
        <w:t>Acquisition and (z) such Lien shall secure only those obligations which it secures on the date of such Permitted Acquisition;</w:t>
      </w:r>
    </w:p>
    <w:p>
      <w:pPr>
        <w:spacing w:after="0" w:line="235" w:lineRule="exact"/>
        <w:rPr>
          <w:sz w:val="20"/>
          <w:szCs w:val="20"/>
          <w:color w:val="auto"/>
        </w:rPr>
      </w:pPr>
    </w:p>
    <w:p>
      <w:pPr>
        <w:ind w:left="1180"/>
        <w:spacing w:after="0"/>
        <w:tabs>
          <w:tab w:leader="none" w:pos="1740" w:val="left"/>
        </w:tabs>
        <w:rPr>
          <w:sz w:val="20"/>
          <w:szCs w:val="20"/>
          <w:color w:val="auto"/>
        </w:rPr>
      </w:pPr>
      <w:r>
        <w:rPr>
          <w:rFonts w:ascii="Times New Roman" w:cs="Times New Roman" w:eastAsia="Times New Roman" w:hAnsi="Times New Roman"/>
          <w:sz w:val="18"/>
          <w:szCs w:val="18"/>
          <w:color w:val="010000"/>
        </w:rPr>
        <w:t>(h)</w:t>
      </w:r>
      <w:r>
        <w:rPr>
          <w:sz w:val="20"/>
          <w:szCs w:val="20"/>
          <w:color w:val="auto"/>
        </w:rPr>
        <w:tab/>
      </w:r>
      <w:r>
        <w:rPr>
          <w:rFonts w:ascii="Times New Roman" w:cs="Times New Roman" w:eastAsia="Times New Roman" w:hAnsi="Times New Roman"/>
          <w:sz w:val="18"/>
          <w:szCs w:val="18"/>
          <w:color w:val="auto"/>
        </w:rPr>
        <w:t>bankers’ liens and rights of setoff with respect to customary depository arrangements entered into in the ordinary course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15" w:lineRule="exact"/>
        <w:rPr>
          <w:sz w:val="20"/>
          <w:szCs w:val="20"/>
          <w:color w:val="auto"/>
        </w:rPr>
      </w:pPr>
    </w:p>
    <w:p>
      <w:pPr>
        <w:ind w:right="20" w:firstLine="1176"/>
        <w:spacing w:after="0" w:line="287" w:lineRule="auto"/>
        <w:tabs>
          <w:tab w:leader="none" w:pos="1765"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attaching solely to cash earnest money or similar deposits in connection with any letter of intent or purchase agreement in connection with a Permitted Acquisition;</w:t>
      </w:r>
    </w:p>
    <w:p>
      <w:pPr>
        <w:spacing w:after="0" w:line="155" w:lineRule="exact"/>
        <w:rPr>
          <w:rFonts w:ascii="Times New Roman" w:cs="Times New Roman" w:eastAsia="Times New Roman" w:hAnsi="Times New Roman"/>
          <w:sz w:val="18"/>
          <w:szCs w:val="18"/>
          <w:color w:val="010000"/>
        </w:rPr>
      </w:pPr>
    </w:p>
    <w:p>
      <w:pPr>
        <w:ind w:right="20" w:firstLine="1176"/>
        <w:spacing w:after="0" w:line="287" w:lineRule="auto"/>
        <w:tabs>
          <w:tab w:leader="none" w:pos="1765"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from precautionary Uniform Commercial Code financing statement filings with respect to consignments, provided that such Liens extend solely to the assets subject to such consignments;</w:t>
      </w:r>
    </w:p>
    <w:p>
      <w:pPr>
        <w:spacing w:after="0" w:line="155" w:lineRule="exact"/>
        <w:rPr>
          <w:rFonts w:ascii="Times New Roman" w:cs="Times New Roman" w:eastAsia="Times New Roman" w:hAnsi="Times New Roman"/>
          <w:sz w:val="18"/>
          <w:szCs w:val="18"/>
          <w:color w:val="010000"/>
        </w:rPr>
      </w:pPr>
    </w:p>
    <w:p>
      <w:pPr>
        <w:ind w:right="20" w:firstLine="1176"/>
        <w:spacing w:after="0" w:line="287" w:lineRule="auto"/>
        <w:tabs>
          <w:tab w:leader="none" w:pos="1756"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interest rate or foreign exchange hedging obligations (regardless of whether such hedging obligations are subject to hedge accounting), incurred in the ordinary course of business and not for speculative purposes;</w:t>
      </w:r>
    </w:p>
    <w:p>
      <w:pPr>
        <w:spacing w:after="0" w:line="167" w:lineRule="exact"/>
        <w:rPr>
          <w:rFonts w:ascii="Times New Roman" w:cs="Times New Roman" w:eastAsia="Times New Roman" w:hAnsi="Times New Roman"/>
          <w:sz w:val="18"/>
          <w:szCs w:val="18"/>
          <w:color w:val="010000"/>
        </w:rPr>
      </w:pPr>
    </w:p>
    <w:p>
      <w:pPr>
        <w:ind w:right="20" w:firstLine="1176"/>
        <w:spacing w:after="0" w:line="273" w:lineRule="auto"/>
        <w:tabs>
          <w:tab w:leader="none" w:pos="1765"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if any, in respect of leases that have been, or should be, in accordance with GAAP as in effect on the Effective Date, classified as Finance Lease Liabilities;</w:t>
      </w:r>
    </w:p>
    <w:p>
      <w:pPr>
        <w:spacing w:after="0" w:line="179" w:lineRule="exact"/>
        <w:rPr>
          <w:rFonts w:ascii="Times New Roman" w:cs="Times New Roman" w:eastAsia="Times New Roman" w:hAnsi="Times New Roman"/>
          <w:sz w:val="18"/>
          <w:szCs w:val="18"/>
          <w:color w:val="010000"/>
        </w:rPr>
      </w:pPr>
    </w:p>
    <w:p>
      <w:pPr>
        <w:jc w:val="both"/>
        <w:ind w:right="20" w:firstLine="1176"/>
        <w:spacing w:after="0" w:line="264" w:lineRule="auto"/>
        <w:tabs>
          <w:tab w:leader="none" w:pos="1757"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pursuant to supply or consignment contracts or otherwise for the receipt of goods or services, encumbering only the goods covered thereby, where the contracts are not overdue by more than 90 days or are being contested in good faith by appropriate proceedings and for which reasonable reserves are being maintained;</w:t>
      </w:r>
    </w:p>
    <w:p>
      <w:pPr>
        <w:spacing w:after="0" w:line="188" w:lineRule="exact"/>
        <w:rPr>
          <w:rFonts w:ascii="Times New Roman" w:cs="Times New Roman" w:eastAsia="Times New Roman" w:hAnsi="Times New Roman"/>
          <w:sz w:val="18"/>
          <w:szCs w:val="18"/>
          <w:color w:val="010000"/>
        </w:rPr>
      </w:pPr>
    </w:p>
    <w:p>
      <w:pPr>
        <w:jc w:val="both"/>
        <w:ind w:right="20" w:firstLine="1176"/>
        <w:spacing w:after="0" w:line="264" w:lineRule="auto"/>
        <w:tabs>
          <w:tab w:leader="none" w:pos="1756"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extensions, renewals and replacements of the Liens described above, so long as there is no increase in the Indebtedness or other amounts secured thereby (other than amounts incurred to pay costs of renewal and replacement) and no additional property (other than accessions, improvements, and replacements in respect of such property) is subject to such Lien; and</w:t>
      </w:r>
    </w:p>
    <w:p>
      <w:pPr>
        <w:spacing w:after="0" w:line="175" w:lineRule="exact"/>
        <w:rPr>
          <w:rFonts w:ascii="Times New Roman" w:cs="Times New Roman" w:eastAsia="Times New Roman" w:hAnsi="Times New Roman"/>
          <w:sz w:val="18"/>
          <w:szCs w:val="18"/>
          <w:color w:val="010000"/>
        </w:rPr>
      </w:pPr>
    </w:p>
    <w:p>
      <w:pPr>
        <w:ind w:right="20" w:firstLine="1176"/>
        <w:spacing w:after="0" w:line="287" w:lineRule="auto"/>
        <w:tabs>
          <w:tab w:leader="none" w:pos="1756"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as a result of the re-characterization as a loan and as a Lien of any transaction permitted under Section 6.03, including any precautionary financing statements or similar filings in connection therewith.</w:t>
      </w:r>
    </w:p>
    <w:p>
      <w:pPr>
        <w:spacing w:after="0" w:line="168"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6.03. </w:t>
      </w:r>
      <w:r>
        <w:rPr>
          <w:rFonts w:ascii="Times New Roman" w:cs="Times New Roman" w:eastAsia="Times New Roman" w:hAnsi="Times New Roman"/>
          <w:sz w:val="18"/>
          <w:szCs w:val="18"/>
          <w:u w:val="single" w:color="auto"/>
          <w:color w:val="000000"/>
        </w:rPr>
        <w:t>Fundamental Changes and Asset Sales</w:t>
      </w:r>
      <w:r>
        <w:rPr>
          <w:rFonts w:ascii="Times New Roman" w:cs="Times New Roman" w:eastAsia="Times New Roman" w:hAnsi="Times New Roman"/>
          <w:sz w:val="18"/>
          <w:szCs w:val="18"/>
          <w:color w:val="000000"/>
        </w:rPr>
        <w:t>. (a) The Company will not, and will not permit any Subsidiary to, merge into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consolidate with any other Person, or permit any other Person to merge into or consolidate with it, or liquidate or dissolve, (including, in each case, pursuant to a Division) except that, if at the time thereof and immediately after giving effect thereto no Event of Default shall have occurred and be continuing, (i) any Subsidiary may merge into the Company in a transaction in which the Company is the surviving corporation, (ii) any Subsidiary may merge into any other Subsidiary in a transaction in which the surviving entity is a Subsidiary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case of a merger of a Subsidiary that is not a Foreign Subsidiary Borrower into a Foreign Subsidiary Borrower in which the surviving Subsidiary is not the Foreign Subsidiary Borrower, the surviving Subsidiary shall execute and deliver to the Administrative Agent a Borrowing Subsidiary Agreement executed by such Subsidiary and the Company and shall satisfy the other conditions precedent set forth in Section 4.03), and (iii) any Subsidiary (other than a Foreign Subsidiary Borrower) may liquidate or dissolve if the Company determines in good faith that such liquidation or dissolution is in the best interests of the Company and its Subsidiaries and is not materially disadvantageous to the Lenders and except that the Company or any Subsidiary</w:t>
      </w:r>
    </w:p>
    <w:p>
      <w:pPr>
        <w:sectPr>
          <w:pgSz w:w="11900" w:h="16838" w:orient="portrait"/>
          <w:cols w:equalWidth="0" w:num="1">
            <w:col w:w="11260"/>
          </w:cols>
          <w:pgMar w:left="320" w:top="855" w:right="319" w:bottom="1440" w:gutter="0" w:footer="0" w:header="0"/>
        </w:sectPr>
      </w:pPr>
    </w:p>
    <w:bookmarkStart w:id="163" w:name="page164"/>
    <w:bookmarkEnd w:id="163"/>
    <w:p>
      <w:pPr>
        <w:ind w:firstLine="1178"/>
        <w:spacing w:after="0" w:line="287" w:lineRule="auto"/>
        <w:rPr>
          <w:sz w:val="20"/>
          <w:szCs w:val="20"/>
          <w:color w:val="auto"/>
        </w:rPr>
      </w:pPr>
      <w:r>
        <w:rPr>
          <w:rFonts w:ascii="Times New Roman" w:cs="Times New Roman" w:eastAsia="Times New Roman" w:hAnsi="Times New Roman"/>
          <w:sz w:val="18"/>
          <w:szCs w:val="18"/>
          <w:color w:val="auto"/>
        </w:rPr>
        <w:t>may effect any acquisition permitted by Section 6.04 by means of a merger of the Person that is the subject of such acquisition with the Company or any of its Subsidiaries (provided that, in the case of a merger with the Company, the Company is the survivor).</w:t>
      </w:r>
    </w:p>
    <w:p>
      <w:pPr>
        <w:spacing w:after="0" w:line="155" w:lineRule="exact"/>
        <w:rPr>
          <w:sz w:val="20"/>
          <w:szCs w:val="20"/>
          <w:color w:val="auto"/>
        </w:rPr>
      </w:pPr>
    </w:p>
    <w:p>
      <w:pPr>
        <w:ind w:firstLine="1176"/>
        <w:spacing w:after="0" w:line="287" w:lineRule="auto"/>
        <w:tabs>
          <w:tab w:leader="none" w:pos="1756"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will not, nor will it permit any of its Subsidiaries to, sell, lease, transfer or otherwise dispose of (in one transaction or a series of transactions) all or substantially all of the assets of the Company and its Subsidiaries taken as a whole.</w:t>
      </w:r>
    </w:p>
    <w:p>
      <w:pPr>
        <w:spacing w:after="0" w:line="168"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6.04. </w:t>
      </w:r>
      <w:r>
        <w:rPr>
          <w:rFonts w:ascii="Times New Roman" w:cs="Times New Roman" w:eastAsia="Times New Roman" w:hAnsi="Times New Roman"/>
          <w:sz w:val="18"/>
          <w:szCs w:val="18"/>
          <w:u w:val="single" w:color="auto"/>
          <w:color w:val="000000"/>
        </w:rPr>
        <w:t>Investments, Loans, Advances, Guarantees and Acquisitions</w:t>
      </w:r>
      <w:r>
        <w:rPr>
          <w:rFonts w:ascii="Times New Roman" w:cs="Times New Roman" w:eastAsia="Times New Roman" w:hAnsi="Times New Roman"/>
          <w:sz w:val="18"/>
          <w:szCs w:val="18"/>
          <w:color w:val="000000"/>
        </w:rPr>
        <w:t>. The Company will not, and will not permit any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to, purchase, hold or acquire (including pursuant to any merger or consolidation with any Person that was not a wholly owned Subsidiary prior to such merger or consolidation)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or the rights of any licensee under a trademark license to such licensee from the Company or any of its Affiliates, except:</w:t>
      </w:r>
    </w:p>
    <w:p>
      <w:pPr>
        <w:spacing w:after="0" w:line="185" w:lineRule="exact"/>
        <w:rPr>
          <w:sz w:val="20"/>
          <w:szCs w:val="20"/>
          <w:color w:val="auto"/>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Permitted Investments;</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by the Company or a Subsidiary in the capital stock of its Subsidiaries;</w:t>
      </w:r>
    </w:p>
    <w:p>
      <w:pPr>
        <w:spacing w:after="0" w:line="222" w:lineRule="exact"/>
        <w:rPr>
          <w:rFonts w:ascii="Times New Roman" w:cs="Times New Roman" w:eastAsia="Times New Roman" w:hAnsi="Times New Roman"/>
          <w:sz w:val="18"/>
          <w:szCs w:val="18"/>
          <w:color w:val="010000"/>
        </w:rPr>
      </w:pPr>
    </w:p>
    <w:p>
      <w:pPr>
        <w:ind w:firstLine="1176"/>
        <w:spacing w:after="0" w:line="287" w:lineRule="auto"/>
        <w:tabs>
          <w:tab w:leader="none" w:pos="1758"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loans or advances made by the Company to, and Guarantees by the Company of obligations of, any Subsidiary, and loans or advances made by any Subsidiary to, and Guarantees by any Subsidiary of obligations of, the Company or any other Subsidiary;</w:t>
      </w:r>
    </w:p>
    <w:p>
      <w:pPr>
        <w:spacing w:after="0" w:line="167"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Guarantees constituting Indebtedness permitted by Section 6.01;</w:t>
      </w:r>
    </w:p>
    <w:p>
      <w:pPr>
        <w:spacing w:after="0" w:line="222"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advances or loans made in the ordinary course of business to employees of the Company and its Subsidiaries;</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existing on the Effective Date not otherwise permitted under this Agreement;</w:t>
      </w:r>
    </w:p>
    <w:p>
      <w:pPr>
        <w:spacing w:after="0" w:line="222" w:lineRule="exact"/>
        <w:rPr>
          <w:rFonts w:ascii="Times New Roman" w:cs="Times New Roman" w:eastAsia="Times New Roman" w:hAnsi="Times New Roman"/>
          <w:sz w:val="18"/>
          <w:szCs w:val="18"/>
          <w:color w:val="010000"/>
        </w:rPr>
      </w:pPr>
    </w:p>
    <w:p>
      <w:pPr>
        <w:ind w:firstLine="1176"/>
        <w:spacing w:after="0" w:line="287" w:lineRule="auto"/>
        <w:tabs>
          <w:tab w:leader="none" w:pos="1756"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received in connection with the bona fide settlement of any defaulted Indebtedness or other liability owed to the Company or any Subsidiary;</w:t>
      </w:r>
    </w:p>
    <w:p>
      <w:pPr>
        <w:spacing w:after="0" w:line="167"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Permitted Acquisitions;</w:t>
      </w:r>
    </w:p>
    <w:p>
      <w:pPr>
        <w:spacing w:after="0" w:line="222"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Swap Agreements not entered into for speculative purposes;</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in connection with the ownership, development, leasing, acquisition, construction or improvement of the Corporate</w:t>
      </w:r>
    </w:p>
    <w:p>
      <w:pPr>
        <w:spacing w:after="0" w:line="2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Headquarters;</w:t>
      </w:r>
    </w:p>
    <w:p>
      <w:pPr>
        <w:spacing w:after="0" w:line="21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in joint ventures in an aggregate amount not to exceed the greater of</w:t>
      </w:r>
    </w:p>
    <w:p>
      <w:pPr>
        <w:spacing w:after="0" w:line="22" w:lineRule="exact"/>
        <w:rPr>
          <w:sz w:val="20"/>
          <w:szCs w:val="20"/>
          <w:color w:val="auto"/>
        </w:rPr>
      </w:pPr>
    </w:p>
    <w:p>
      <w:pPr>
        <w:ind w:firstLine="1176"/>
        <w:spacing w:after="0" w:line="264" w:lineRule="auto"/>
        <w:tabs>
          <w:tab w:leader="none" w:pos="14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and (ii) 2.75% of Total Assets (determined at the time of each such investment by reference to the Company’s financial statements most recently delivered pursuant to Section 5.01(a) or (b) or, if prior to the date of the delivery of the first financial statements to be</w:t>
      </w:r>
    </w:p>
    <w:p>
      <w:pPr>
        <w:sectPr>
          <w:pgSz w:w="11900" w:h="16838" w:orient="portrait"/>
          <w:cols w:equalWidth="0" w:num="1">
            <w:col w:w="11240"/>
          </w:cols>
          <w:pgMar w:left="320" w:top="855" w:right="339" w:bottom="1440" w:gutter="0" w:footer="0" w:header="0"/>
        </w:sectPr>
      </w:pPr>
    </w:p>
    <w:bookmarkStart w:id="164" w:name="page165"/>
    <w:bookmarkEnd w:id="164"/>
    <w:p>
      <w:pPr>
        <w:ind w:left="1180"/>
        <w:spacing w:after="0"/>
        <w:rPr>
          <w:sz w:val="20"/>
          <w:szCs w:val="20"/>
          <w:color w:val="auto"/>
        </w:rPr>
      </w:pPr>
      <w:r>
        <w:rPr>
          <w:rFonts w:ascii="Times New Roman" w:cs="Times New Roman" w:eastAsia="Times New Roman" w:hAnsi="Times New Roman"/>
          <w:sz w:val="18"/>
          <w:szCs w:val="18"/>
          <w:color w:val="auto"/>
        </w:rPr>
        <w:t>delivered pursuant to Section 5.01(a) or (b), the most recent financial statements referred to in Section 3.04(a));</w:t>
      </w:r>
    </w:p>
    <w:p>
      <w:pPr>
        <w:spacing w:after="0" w:line="235" w:lineRule="exact"/>
        <w:rPr>
          <w:sz w:val="20"/>
          <w:szCs w:val="20"/>
          <w:color w:val="auto"/>
        </w:rPr>
      </w:pPr>
    </w:p>
    <w:p>
      <w:pPr>
        <w:ind w:firstLine="1176"/>
        <w:spacing w:after="0" w:line="256" w:lineRule="auto"/>
        <w:tabs>
          <w:tab w:leader="none" w:pos="1765"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in addition to Investments permitted under clauses (a) through (j) of this Section 6.04 made after the Effective Date in an aggregate amount not to exceed</w:t>
      </w:r>
    </w:p>
    <w:p>
      <w:pPr>
        <w:spacing w:after="0" w:line="1" w:lineRule="exact"/>
        <w:rPr>
          <w:rFonts w:ascii="Times New Roman" w:cs="Times New Roman" w:eastAsia="Times New Roman" w:hAnsi="Times New Roman"/>
          <w:sz w:val="18"/>
          <w:szCs w:val="18"/>
          <w:color w:val="010000"/>
        </w:rPr>
      </w:pPr>
    </w:p>
    <w:p>
      <w:pPr>
        <w:ind w:left="11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$500,000,000 at any time outstanding in any Person or Persons;</w:t>
      </w:r>
    </w:p>
    <w:p>
      <w:pPr>
        <w:spacing w:after="0" w:line="221" w:lineRule="exact"/>
        <w:rPr>
          <w:rFonts w:ascii="Times New Roman" w:cs="Times New Roman" w:eastAsia="Times New Roman" w:hAnsi="Times New Roman"/>
          <w:sz w:val="18"/>
          <w:szCs w:val="18"/>
          <w:color w:val="010000"/>
        </w:rPr>
      </w:pPr>
    </w:p>
    <w:p>
      <w:pPr>
        <w:ind w:firstLine="1176"/>
        <w:spacing w:after="0" w:line="273" w:lineRule="auto"/>
        <w:tabs>
          <w:tab w:leader="none" w:pos="1757"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so long as prior to making such Investment and after giving effect (including giving effect on a pro forma basis) thereto (i) no Default or Event of Default has occurred and is continuing or would occur and (ii) the Company is in compliance with Section 6.07.</w:t>
      </w:r>
    </w:p>
    <w:p>
      <w:pPr>
        <w:spacing w:after="0" w:line="179"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6.05. </w:t>
      </w:r>
      <w:r>
        <w:rPr>
          <w:rFonts w:ascii="Times New Roman" w:cs="Times New Roman" w:eastAsia="Times New Roman" w:hAnsi="Times New Roman"/>
          <w:sz w:val="18"/>
          <w:szCs w:val="18"/>
          <w:u w:val="single" w:color="auto"/>
          <w:color w:val="000000"/>
        </w:rPr>
        <w:t>Transactions with Affiliates</w:t>
      </w:r>
      <w:r>
        <w:rPr>
          <w:rFonts w:ascii="Times New Roman" w:cs="Times New Roman" w:eastAsia="Times New Roman" w:hAnsi="Times New Roman"/>
          <w:sz w:val="18"/>
          <w:szCs w:val="18"/>
          <w:color w:val="000000"/>
        </w:rPr>
        <w:t>. The Company will not, and will not permit any of its Subsidiaries to, sell, lease or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any property or assets to, or purchase, lease or otherwise acquire any property or assets from, or otherwise engage in any other transactions with, any of its Affiliates, except (a) at prices and on terms and conditions not less favorable to the Company or such Subsidiary than could be obtained on an arm’s-length basis from unrelated third parties, (b) transactions between or among the Company and/or its Subsidiaries and (c) any Investment permitted by Section 6.04 and (d) any Restricted Payment permitted by Section 6.06.</w:t>
      </w:r>
    </w:p>
    <w:p>
      <w:pPr>
        <w:spacing w:after="0" w:line="19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6.06. </w:t>
      </w:r>
      <w:r>
        <w:rPr>
          <w:rFonts w:ascii="Times New Roman" w:cs="Times New Roman" w:eastAsia="Times New Roman" w:hAnsi="Times New Roman"/>
          <w:sz w:val="18"/>
          <w:szCs w:val="18"/>
          <w:u w:val="single" w:color="auto"/>
          <w:color w:val="000000"/>
        </w:rPr>
        <w:t>Restricted Payments</w:t>
      </w:r>
      <w:r>
        <w:rPr>
          <w:rFonts w:ascii="Times New Roman" w:cs="Times New Roman" w:eastAsia="Times New Roman" w:hAnsi="Times New Roman"/>
          <w:sz w:val="18"/>
          <w:szCs w:val="18"/>
          <w:color w:val="000000"/>
        </w:rPr>
        <w:t>. The Company will not, and will not permit any of its Subsidiaries to, declare or make, or agree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 or make, directly or indirectly, any Restricted Payment, except (a) the Company may declare and pay dividends with respect to its Equity Interests payable solely in additional shares of its common stock,</w:t>
      </w:r>
    </w:p>
    <w:p>
      <w:pPr>
        <w:spacing w:after="0" w:line="1" w:lineRule="exact"/>
        <w:rPr>
          <w:sz w:val="20"/>
          <w:szCs w:val="20"/>
          <w:color w:val="auto"/>
        </w:rPr>
      </w:pPr>
    </w:p>
    <w:p>
      <w:pPr>
        <w:ind w:left="1440" w:hanging="264"/>
        <w:spacing w:after="0"/>
        <w:tabs>
          <w:tab w:leader="none" w:pos="14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dividends ratably with respect to their Equity Interests,</w:t>
      </w:r>
    </w:p>
    <w:p>
      <w:pPr>
        <w:spacing w:after="0" w:line="8"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Restricted Payments pursuant to and in accordance with stock option plans or other benefit plans for</w:t>
      </w:r>
    </w:p>
    <w:p>
      <w:pPr>
        <w:spacing w:after="0" w:line="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management or employees of the Company and its Subsidiaries and (d) the Company and its Subsidiaries may make any other Restricted Payment so long as prior to making such Restricted Payment and after giving effect (including giving effect on a pro forma basis) thereto (i) no Default or Event of Default has occurred and is continuing or would occur and (ii) the Company is in compliance with Section 6.07.</w:t>
      </w:r>
    </w:p>
    <w:p>
      <w:pPr>
        <w:spacing w:after="0" w:line="193"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6.07. </w:t>
      </w:r>
      <w:r>
        <w:rPr>
          <w:rFonts w:ascii="Times New Roman" w:cs="Times New Roman" w:eastAsia="Times New Roman" w:hAnsi="Times New Roman"/>
          <w:sz w:val="18"/>
          <w:szCs w:val="18"/>
          <w:u w:val="single" w:color="auto"/>
          <w:color w:val="000000"/>
        </w:rPr>
        <w:t>Net Leverage Ratio</w:t>
      </w:r>
      <w:r>
        <w:rPr>
          <w:rFonts w:ascii="Times New Roman" w:cs="Times New Roman" w:eastAsia="Times New Roman" w:hAnsi="Times New Roman"/>
          <w:sz w:val="18"/>
          <w:szCs w:val="18"/>
          <w:color w:val="000000"/>
        </w:rPr>
        <w:t>. The Company will not permit the Net Leverage Ratio, determined as of the end of each of its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Quarters ending on or after the Effective Date, to be greater than 4.00 to 1.00.</w:t>
      </w:r>
    </w:p>
    <w:p>
      <w:pPr>
        <w:sectPr>
          <w:pgSz w:w="11900" w:h="16838" w:orient="portrait"/>
          <w:cols w:equalWidth="0" w:num="1">
            <w:col w:w="11240"/>
          </w:cols>
          <w:pgMar w:left="320" w:top="855" w:right="339" w:bottom="1440" w:gutter="0" w:footer="0" w:header="0"/>
        </w:sectPr>
      </w:pPr>
    </w:p>
    <w:bookmarkStart w:id="165" w:name="page166"/>
    <w:bookmarkEnd w:id="165"/>
    <w:p>
      <w:pPr>
        <w:jc w:val="center"/>
        <w:ind w:left="1180"/>
        <w:spacing w:after="0"/>
        <w:rPr>
          <w:sz w:val="20"/>
          <w:szCs w:val="20"/>
          <w:color w:val="auto"/>
        </w:rPr>
      </w:pPr>
      <w:r>
        <w:rPr>
          <w:rFonts w:ascii="Times New Roman" w:cs="Times New Roman" w:eastAsia="Times New Roman" w:hAnsi="Times New Roman"/>
          <w:sz w:val="18"/>
          <w:szCs w:val="18"/>
          <w:color w:val="010000"/>
        </w:rPr>
        <w:t>ARTICLE VII</w:t>
      </w:r>
    </w:p>
    <w:p>
      <w:pPr>
        <w:spacing w:after="0" w:line="235"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2" w:lineRule="exact"/>
        <w:rPr>
          <w:sz w:val="20"/>
          <w:szCs w:val="20"/>
          <w:color w:val="auto"/>
        </w:rPr>
      </w:pPr>
    </w:p>
    <w:p>
      <w:pPr>
        <w:ind w:left="3922"/>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35" w:lineRule="exact"/>
        <w:rPr>
          <w:sz w:val="20"/>
          <w:szCs w:val="20"/>
          <w:color w:val="auto"/>
        </w:rPr>
      </w:pPr>
    </w:p>
    <w:p>
      <w:pPr>
        <w:ind w:left="2" w:right="20" w:firstLine="1176"/>
        <w:spacing w:after="0" w:line="287" w:lineRule="auto"/>
        <w:tabs>
          <w:tab w:leader="none" w:pos="1760" w:val="left"/>
        </w:tabs>
        <w:numPr>
          <w:ilvl w:val="1"/>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5" w:lineRule="exact"/>
        <w:rPr>
          <w:rFonts w:ascii="Times New Roman" w:cs="Times New Roman" w:eastAsia="Times New Roman" w:hAnsi="Times New Roman"/>
          <w:sz w:val="18"/>
          <w:szCs w:val="18"/>
          <w:color w:val="010000"/>
        </w:rPr>
      </w:pPr>
    </w:p>
    <w:p>
      <w:pPr>
        <w:ind w:left="1762" w:hanging="584"/>
        <w:spacing w:after="0"/>
        <w:tabs>
          <w:tab w:leader="none" w:pos="1762" w:val="left"/>
        </w:tabs>
        <w:numPr>
          <w:ilvl w:val="1"/>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fail to pay any interest on any Loan or any fee or any other amount (other than an amount referred to in clause</w:t>
      </w:r>
    </w:p>
    <w:p>
      <w:pPr>
        <w:spacing w:after="0" w:line="27" w:lineRule="exact"/>
        <w:rPr>
          <w:rFonts w:ascii="Times New Roman" w:cs="Times New Roman" w:eastAsia="Times New Roman" w:hAnsi="Times New Roman"/>
          <w:sz w:val="18"/>
          <w:szCs w:val="18"/>
          <w:color w:val="010000"/>
        </w:rPr>
      </w:pPr>
    </w:p>
    <w:p>
      <w:pPr>
        <w:ind w:left="2" w:right="20" w:hanging="2"/>
        <w:spacing w:after="0" w:line="257" w:lineRule="auto"/>
        <w:tabs>
          <w:tab w:leader="none" w:pos="2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payable under this Agreement or any other Loan Document, when and as the same shall become due and payable, and such failure shall continue unremedied for a period of five (5) Business Days;</w:t>
      </w:r>
    </w:p>
    <w:p>
      <w:pPr>
        <w:spacing w:after="0" w:line="193" w:lineRule="exact"/>
        <w:rPr>
          <w:rFonts w:ascii="Times New Roman" w:cs="Times New Roman" w:eastAsia="Times New Roman" w:hAnsi="Times New Roman"/>
          <w:sz w:val="18"/>
          <w:szCs w:val="18"/>
          <w:color w:val="auto"/>
        </w:rPr>
      </w:pPr>
    </w:p>
    <w:p>
      <w:pPr>
        <w:jc w:val="both"/>
        <w:ind w:left="2" w:right="20" w:firstLine="1176"/>
        <w:spacing w:after="0" w:line="261" w:lineRule="auto"/>
        <w:tabs>
          <w:tab w:leader="none" w:pos="1760"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representation or warranty made or deemed made by or on behalf of any Borrower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79" w:lineRule="exact"/>
        <w:rPr>
          <w:rFonts w:ascii="Times New Roman" w:cs="Times New Roman" w:eastAsia="Times New Roman" w:hAnsi="Times New Roman"/>
          <w:sz w:val="18"/>
          <w:szCs w:val="18"/>
          <w:color w:val="010000"/>
        </w:rPr>
      </w:pPr>
    </w:p>
    <w:p>
      <w:pPr>
        <w:ind w:left="2" w:right="20" w:firstLine="1176"/>
        <w:spacing w:after="0" w:line="287" w:lineRule="auto"/>
        <w:tabs>
          <w:tab w:leader="none" w:pos="1757"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fail to observe or perform any covenant, condition or agreement contained in Section 5.02, 5.03 (with respect to any Borrower’s existence) or 5.08, in Article VI or in Article X;</w:t>
      </w:r>
    </w:p>
    <w:p>
      <w:pPr>
        <w:spacing w:after="0" w:line="167" w:lineRule="exact"/>
        <w:rPr>
          <w:rFonts w:ascii="Times New Roman" w:cs="Times New Roman" w:eastAsia="Times New Roman" w:hAnsi="Times New Roman"/>
          <w:sz w:val="18"/>
          <w:szCs w:val="18"/>
          <w:color w:val="010000"/>
        </w:rPr>
      </w:pPr>
    </w:p>
    <w:p>
      <w:pPr>
        <w:jc w:val="both"/>
        <w:ind w:left="2" w:right="20" w:firstLine="1176"/>
        <w:spacing w:after="0" w:line="264" w:lineRule="auto"/>
        <w:tabs>
          <w:tab w:leader="none" w:pos="1760"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175" w:lineRule="exact"/>
        <w:rPr>
          <w:rFonts w:ascii="Times New Roman" w:cs="Times New Roman" w:eastAsia="Times New Roman" w:hAnsi="Times New Roman"/>
          <w:sz w:val="18"/>
          <w:szCs w:val="18"/>
          <w:color w:val="010000"/>
        </w:rPr>
      </w:pPr>
    </w:p>
    <w:p>
      <w:pPr>
        <w:jc w:val="both"/>
        <w:ind w:left="2" w:right="20" w:firstLine="1176"/>
        <w:spacing w:after="0" w:line="260" w:lineRule="auto"/>
        <w:tabs>
          <w:tab w:leader="none" w:pos="1764"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or any Subsidiary shall fail to make any payment of principal or interest, regardless of amount, in respect of any Material Indebtedness, when and as the same shall become due and payable beyond the period (without giving effect to any extensions, waivers, amendments or other modifications of or to such period) of grace, if any, provided in the instrument or agreement under which such Material Indebtedness was created, and, prior to any termination of Commitments or the acceleration of payment of Loans pursuant to this Article VII, such failure is not waived in writing by the holders of such Material Indebtedness;</w:t>
      </w:r>
    </w:p>
    <w:p>
      <w:pPr>
        <w:spacing w:after="0" w:line="179" w:lineRule="exact"/>
        <w:rPr>
          <w:rFonts w:ascii="Times New Roman" w:cs="Times New Roman" w:eastAsia="Times New Roman" w:hAnsi="Times New Roman"/>
          <w:sz w:val="18"/>
          <w:szCs w:val="18"/>
          <w:color w:val="010000"/>
        </w:rPr>
      </w:pPr>
    </w:p>
    <w:p>
      <w:pPr>
        <w:jc w:val="both"/>
        <w:ind w:left="2" w:firstLine="1176"/>
        <w:spacing w:after="0" w:line="256" w:lineRule="auto"/>
        <w:tabs>
          <w:tab w:leader="none" w:pos="1757"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event or condition occurs (after giving effect to any applicable grace periods and after giving effect to any extensions, waivers, amendments or other modifications of any applicable provision or agreement) that results in any Material Indebtedness becoming due prior to its scheduled maturity or that enables or permits the holder or holders of any Material Indebtedness or any trustee or agent on its or their behalf to cause, with the giving of an acceleration or similar notice if required,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 to the extent such Indebtedness is paid when due;</w:t>
      </w:r>
    </w:p>
    <w:p>
      <w:pPr>
        <w:spacing w:after="0" w:line="196" w:lineRule="exact"/>
        <w:rPr>
          <w:rFonts w:ascii="Times New Roman" w:cs="Times New Roman" w:eastAsia="Times New Roman" w:hAnsi="Times New Roman"/>
          <w:sz w:val="18"/>
          <w:szCs w:val="18"/>
          <w:color w:val="010000"/>
        </w:rPr>
      </w:pPr>
    </w:p>
    <w:p>
      <w:pPr>
        <w:jc w:val="both"/>
        <w:ind w:left="2" w:right="20" w:firstLine="1176"/>
        <w:spacing w:after="0" w:line="256" w:lineRule="auto"/>
        <w:tabs>
          <w:tab w:leader="none" w:pos="1757" w:val="left"/>
        </w:tabs>
        <w:numPr>
          <w:ilvl w:val="1"/>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Company or any Significant Subsidiary or its debts, or of a substantial part of its assets, under any Federal, state or foreign bankruptcy, insolvency, receivership or similar law now or hereafter in effect, including a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concordat préventif de la faillite”,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“sursis de paiement”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“liquidation judiciaire” </w:t>
      </w:r>
      <w:r>
        <w:rPr>
          <w:rFonts w:ascii="Times New Roman" w:cs="Times New Roman" w:eastAsia="Times New Roman" w:hAnsi="Times New Roman"/>
          <w:sz w:val="18"/>
          <w:szCs w:val="18"/>
          <w:color w:val="auto"/>
        </w:rPr>
        <w:t>or (ii) the appointment of a receiver, trustee, custodian, sequestrator, conservator, a</w:t>
      </w:r>
      <w:r>
        <w:rPr>
          <w:rFonts w:ascii="Times New Roman" w:cs="Times New Roman" w:eastAsia="Times New Roman" w:hAnsi="Times New Roman"/>
          <w:sz w:val="18"/>
          <w:szCs w:val="18"/>
          <w:i w:val="1"/>
          <w:iCs w:val="1"/>
          <w:color w:val="auto"/>
        </w:rPr>
        <w:t xml:space="preserve"> juge délégué</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commissaire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juge-commissaire</w:t>
      </w:r>
      <w:r>
        <w:rPr>
          <w:rFonts w:ascii="Times New Roman" w:cs="Times New Roman" w:eastAsia="Times New Roman" w:hAnsi="Times New Roman"/>
          <w:sz w:val="18"/>
          <w:szCs w:val="18"/>
          <w:color w:val="auto"/>
        </w:rPr>
        <w:t>,</w:t>
      </w:r>
    </w:p>
    <w:p>
      <w:pPr>
        <w:sectPr>
          <w:pgSz w:w="11900" w:h="16838" w:orient="portrait"/>
          <w:cols w:equalWidth="0" w:num="1">
            <w:col w:w="11262"/>
          </w:cols>
          <w:pgMar w:left="318" w:top="634" w:right="319" w:bottom="1440" w:gutter="0" w:footer="0" w:header="0"/>
        </w:sectPr>
      </w:pPr>
    </w:p>
    <w:bookmarkStart w:id="166" w:name="page167"/>
    <w:bookmarkEnd w:id="166"/>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administrateur provisoire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curateur </w:t>
      </w:r>
      <w:r>
        <w:rPr>
          <w:rFonts w:ascii="Times New Roman" w:cs="Times New Roman" w:eastAsia="Times New Roman" w:hAnsi="Times New Roman"/>
          <w:sz w:val="18"/>
          <w:szCs w:val="18"/>
          <w:color w:val="auto"/>
        </w:rPr>
        <w:t>or similar official for the Company or any Significant Subsidiary or for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its assets, and, in any such case, such proceeding or petition shall continue undismissed for 60 days or an order or decree approving or ordering any of the foregoing shall be entered;</w:t>
      </w:r>
    </w:p>
    <w:p>
      <w:pPr>
        <w:spacing w:after="0" w:line="188" w:lineRule="exact"/>
        <w:rPr>
          <w:sz w:val="20"/>
          <w:szCs w:val="20"/>
          <w:color w:val="auto"/>
        </w:rPr>
      </w:pPr>
    </w:p>
    <w:p>
      <w:pPr>
        <w:jc w:val="both"/>
        <w:ind w:firstLine="1176"/>
        <w:spacing w:after="0" w:line="254" w:lineRule="auto"/>
        <w:tabs>
          <w:tab w:leader="none" w:pos="1765"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 the Company or any Significant Subsidiary shall (i) voluntarily commence any proceeding or file any petition seeking liquidation, reorganization or other relief under any Federal, state or foreign bankruptcy, insolvency, receivership or similar law now or hereafter in effect, including a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concordat préventif de la faillite”, “sursis de paiement”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“liquidation volontaire”</w:t>
      </w:r>
      <w:r>
        <w:rPr>
          <w:rFonts w:ascii="Times New Roman" w:cs="Times New Roman" w:eastAsia="Times New Roman" w:hAnsi="Times New Roman"/>
          <w:sz w:val="18"/>
          <w:szCs w:val="18"/>
          <w:color w:val="auto"/>
        </w:rPr>
        <w:t>, (ii) consent to the institution of, or fail to contest in a timely and appropriate manner, any proceeding or petition described in clause (h) of this Article,</w:t>
      </w:r>
    </w:p>
    <w:p>
      <w:pPr>
        <w:spacing w:after="0" w:line="2"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5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for or consent to the appointment of a receiver, trustee, custodian, sequestrator, conservator, a </w:t>
      </w:r>
      <w:r>
        <w:rPr>
          <w:rFonts w:ascii="Times New Roman" w:cs="Times New Roman" w:eastAsia="Times New Roman" w:hAnsi="Times New Roman"/>
          <w:sz w:val="18"/>
          <w:szCs w:val="18"/>
          <w:i w:val="1"/>
          <w:iCs w:val="1"/>
          <w:color w:val="auto"/>
        </w:rPr>
        <w:t>juge délégué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mandataire ad hoc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administrateur provisoire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curateur </w:t>
      </w:r>
      <w:r>
        <w:rPr>
          <w:rFonts w:ascii="Times New Roman" w:cs="Times New Roman" w:eastAsia="Times New Roman" w:hAnsi="Times New Roman"/>
          <w:sz w:val="18"/>
          <w:szCs w:val="18"/>
          <w:color w:val="auto"/>
        </w:rPr>
        <w:t>or similar official for the Company or any Significant Subsidiary 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5" w:lineRule="exact"/>
        <w:rPr>
          <w:rFonts w:ascii="Times New Roman" w:cs="Times New Roman" w:eastAsia="Times New Roman" w:hAnsi="Times New Roman"/>
          <w:sz w:val="18"/>
          <w:szCs w:val="18"/>
          <w:color w:val="auto"/>
        </w:rPr>
      </w:pPr>
    </w:p>
    <w:p>
      <w:pPr>
        <w:ind w:left="1760" w:hanging="584"/>
        <w:spacing w:after="0"/>
        <w:tabs>
          <w:tab w:leader="none" w:pos="1760"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or any Significant Subsidiary shall become unable, admit in writing its inability or fail generally to pay its debts as</w:t>
      </w:r>
    </w:p>
    <w:p>
      <w:pPr>
        <w:spacing w:after="0" w:line="2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they become due;</w:t>
      </w:r>
    </w:p>
    <w:p>
      <w:pPr>
        <w:spacing w:after="0" w:line="214"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6"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one or more judgments for the payment of money in an aggregate amount (not paid or covered by insurance) in excess of $100,000,000 shall be rendered against the Company, any Subsidiary or any combination thereof and (i) the same shall remain undischarged for a period of 60 consecutive days from the entry thereof during which execution shall not be effectively stayed or bonded, or (ii) any action shall be legally taken by a judgment creditor to attach or levy upon any assets of the Company or any Subsidiary to enforce any such judgment;</w:t>
      </w:r>
    </w:p>
    <w:p>
      <w:pPr>
        <w:spacing w:after="0" w:line="179" w:lineRule="exact"/>
        <w:rPr>
          <w:rFonts w:ascii="Times New Roman" w:cs="Times New Roman" w:eastAsia="Times New Roman" w:hAnsi="Times New Roman"/>
          <w:sz w:val="18"/>
          <w:szCs w:val="18"/>
          <w:color w:val="010000"/>
        </w:rPr>
      </w:pPr>
    </w:p>
    <w:p>
      <w:pPr>
        <w:ind w:firstLine="1176"/>
        <w:spacing w:after="0" w:line="287" w:lineRule="auto"/>
        <w:tabs>
          <w:tab w:leader="none" w:pos="1765"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ERISA Event shall have occurred that, when taken together with all other ERISA Events that have occurred, would reasonably be expected to result in a Material Adverse Effect;</w:t>
      </w:r>
    </w:p>
    <w:p>
      <w:pPr>
        <w:spacing w:after="0" w:line="167"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Change in Control shall occur; or</w:t>
      </w:r>
    </w:p>
    <w:p>
      <w:pPr>
        <w:spacing w:after="0" w:line="222" w:lineRule="exact"/>
        <w:rPr>
          <w:rFonts w:ascii="Times New Roman" w:cs="Times New Roman" w:eastAsia="Times New Roman" w:hAnsi="Times New Roman"/>
          <w:sz w:val="18"/>
          <w:szCs w:val="18"/>
          <w:color w:val="010000"/>
        </w:rPr>
      </w:pPr>
    </w:p>
    <w:p>
      <w:pPr>
        <w:jc w:val="both"/>
        <w:ind w:firstLine="1176"/>
        <w:spacing w:after="0" w:line="268" w:lineRule="auto"/>
        <w:tabs>
          <w:tab w:leader="none" w:pos="1756" w:val="left"/>
        </w:tabs>
        <w:numPr>
          <w:ilvl w:val="0"/>
          <w:numId w:val="16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material provision of any Loan Document for any reason ceases to be valid, binding and enforceable in accordance with its terms (or the Company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ectPr>
          <w:pgSz w:w="11900" w:h="16838" w:orient="portrait"/>
          <w:cols w:equalWidth="0" w:num="1">
            <w:col w:w="11240"/>
          </w:cols>
          <w:pgMar w:left="320" w:top="632" w:right="339" w:bottom="1440" w:gutter="0" w:footer="0" w:header="0"/>
        </w:sectPr>
      </w:pPr>
    </w:p>
    <w:bookmarkStart w:id="167" w:name="page168"/>
    <w:bookmarkEnd w:id="167"/>
    <w:p>
      <w:pPr>
        <w:jc w:val="both"/>
        <w:ind w:left="2" w:firstLine="1178"/>
        <w:spacing w:after="0" w:line="267" w:lineRule="auto"/>
        <w:rPr>
          <w:sz w:val="20"/>
          <w:szCs w:val="20"/>
          <w:color w:val="auto"/>
        </w:rPr>
      </w:pPr>
      <w:r>
        <w:rPr>
          <w:rFonts w:ascii="Times New Roman" w:cs="Times New Roman" w:eastAsia="Times New Roman" w:hAnsi="Times New Roman"/>
          <w:sz w:val="17"/>
          <w:szCs w:val="17"/>
          <w:color w:val="auto"/>
        </w:rPr>
        <w:t>Notwithstanding anything to the contrary herein, with respect to the undrawn Revolving Commitments in respect of the Sunrise Certain Funds Sublimit, it is understood and agreed that (x) neither the Administrative Agent nor the Revolving Lenders shall be permitted to take any of the foregoing actions contained in the preceding paragraph with respect to any Default or Event of Default (except for any Default or Event of Default pursuant to paragraphs (h) and (i) of Article VII (with respect to the Company only)) occurring during the Sunrise Certain Funds Period and (y) the Administrative Agent and the Revolving Lenders shall not have any right to terminate any undrawn Revolving Commitments in respect of the Sunrise Certain Funds Sublimit upon the occurrence of any Default or Event of Default (except for any Default or Event of Default pursuant to under paragraphs (h) and (i) of Article VII (with respect to the Company only)). For the avoidance of doubt, (x) the rights and remedies of the Revolving Lenders and the Administrative Agent shall not be limited in the event that any of the conditions set forth in Section 4.04 is not satisfied or waived on the Sunrise Acquisition Closing Date,</w:t>
      </w:r>
    </w:p>
    <w:p>
      <w:pPr>
        <w:spacing w:after="0" w:line="4" w:lineRule="exact"/>
        <w:rPr>
          <w:sz w:val="20"/>
          <w:szCs w:val="20"/>
          <w:color w:val="auto"/>
        </w:rPr>
      </w:pPr>
    </w:p>
    <w:p>
      <w:pPr>
        <w:ind w:left="2" w:hanging="2"/>
        <w:spacing w:after="0" w:line="272" w:lineRule="auto"/>
        <w:tabs>
          <w:tab w:leader="none" w:pos="2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expiration of the Sunrise Certain Funds Period, all of the rights, remedies and entitlements of the Administrative Agent and the Revolving Lenders shall be available notwithstanding that such rights were not available prior to such time as a result of this paragraph.</w:t>
      </w:r>
    </w:p>
    <w:p>
      <w:pPr>
        <w:sectPr>
          <w:pgSz w:w="11900" w:h="16838" w:orient="portrait"/>
          <w:cols w:equalWidth="0" w:num="1">
            <w:col w:w="11242"/>
          </w:cols>
          <w:pgMar w:left="318" w:top="634" w:right="339" w:bottom="1440" w:gutter="0" w:footer="0" w:header="0"/>
        </w:sectPr>
      </w:pPr>
    </w:p>
    <w:bookmarkStart w:id="168" w:name="page169"/>
    <w:bookmarkEnd w:id="168"/>
    <w:p>
      <w:pPr>
        <w:jc w:val="center"/>
        <w:ind w:left="1180"/>
        <w:spacing w:after="0"/>
        <w:rPr>
          <w:sz w:val="20"/>
          <w:szCs w:val="20"/>
          <w:color w:val="auto"/>
        </w:rPr>
      </w:pPr>
      <w:r>
        <w:rPr>
          <w:rFonts w:ascii="Times New Roman" w:cs="Times New Roman" w:eastAsia="Times New Roman" w:hAnsi="Times New Roman"/>
          <w:sz w:val="18"/>
          <w:szCs w:val="18"/>
          <w:color w:val="010000"/>
        </w:rPr>
        <w:t>ARTICLE VIII</w:t>
      </w:r>
    </w:p>
    <w:p>
      <w:pPr>
        <w:spacing w:after="0" w:line="235"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u w:val="single" w:color="auto"/>
          <w:color w:val="auto"/>
        </w:rPr>
        <w:t>The Administrative Agent and the Sustainability Agent</w:t>
      </w:r>
    </w:p>
    <w:p>
      <w:pPr>
        <w:spacing w:after="0" w:line="222" w:lineRule="exact"/>
        <w:rPr>
          <w:sz w:val="20"/>
          <w:szCs w:val="20"/>
          <w:color w:val="auto"/>
        </w:rPr>
      </w:pPr>
    </w:p>
    <w:p>
      <w:pPr>
        <w:jc w:val="both"/>
        <w:ind w:left="2" w:right="20" w:firstLine="1178"/>
        <w:spacing w:after="0" w:line="256" w:lineRule="auto"/>
        <w:rPr>
          <w:sz w:val="20"/>
          <w:szCs w:val="20"/>
          <w:color w:val="auto"/>
        </w:rPr>
      </w:pPr>
      <w:r>
        <w:rPr>
          <w:rFonts w:ascii="Times New Roman" w:cs="Times New Roman" w:eastAsia="Times New Roman" w:hAnsi="Times New Roman"/>
          <w:sz w:val="18"/>
          <w:szCs w:val="18"/>
          <w:color w:val="auto"/>
        </w:rPr>
        <w:t>Each of the Lenders and the Issuing Banks hereby irrevocably appoints the Administrative Agent and the Sustainability Agent as its agent and authorizes the Administrative Agent and the Sustainability Agent to take such actions on its behalf, including execution of the other Loan Documents, and to exercise such powers as are delegated to the Administrative Agent and the Sustainability Agent by the terms of the Loan Documents, together with such actions and powers as are reasonably incidental thereto. The provisions of this Article are solely for the benefit of the Administrative Agent, the Sustainability Agent, the Lenders and the Issuing Banks, and except with respect to the second sentence in the penultimate paragraph of this Article VIII, neither the Company nor any other Borrower shall have rights as a third party beneficiary of any of such provisions.</w:t>
      </w:r>
    </w:p>
    <w:p>
      <w:pPr>
        <w:spacing w:after="0" w:line="197" w:lineRule="exact"/>
        <w:rPr>
          <w:sz w:val="20"/>
          <w:szCs w:val="20"/>
          <w:color w:val="auto"/>
        </w:rPr>
      </w:pPr>
    </w:p>
    <w:p>
      <w:pPr>
        <w:jc w:val="both"/>
        <w:ind w:left="2" w:right="20" w:firstLine="1178"/>
        <w:spacing w:after="0" w:line="261" w:lineRule="auto"/>
        <w:rPr>
          <w:sz w:val="20"/>
          <w:szCs w:val="20"/>
          <w:color w:val="auto"/>
        </w:rPr>
      </w:pPr>
      <w:r>
        <w:rPr>
          <w:rFonts w:ascii="Times New Roman" w:cs="Times New Roman" w:eastAsia="Times New Roman" w:hAnsi="Times New Roman"/>
          <w:sz w:val="18"/>
          <w:szCs w:val="18"/>
          <w:color w:val="auto"/>
        </w:rPr>
        <w:t>The banks serving as the Administrative Agent and the Sustainability Agent hereunder shall have the same rights and powers in its capacity as a Lender as any other Lender and may exercise the same as though it were not the Administrative Agent or the Sustainability Agent, and such bank and its Affiliates may accept deposits from, lend money to and generally engage in any kind of business with the Company or any Subsidiary or other Affiliate thereof as if it were not the Administrative Agent or the Sustainability Agent hereunder.</w:t>
      </w:r>
    </w:p>
    <w:p>
      <w:pPr>
        <w:spacing w:after="0" w:line="179" w:lineRule="exact"/>
        <w:rPr>
          <w:sz w:val="20"/>
          <w:szCs w:val="20"/>
          <w:color w:val="auto"/>
        </w:rPr>
      </w:pPr>
    </w:p>
    <w:p>
      <w:pPr>
        <w:jc w:val="both"/>
        <w:ind w:left="2" w:firstLine="1178"/>
        <w:spacing w:after="0" w:line="251" w:lineRule="auto"/>
        <w:rPr>
          <w:sz w:val="20"/>
          <w:szCs w:val="20"/>
          <w:color w:val="auto"/>
        </w:rPr>
      </w:pPr>
      <w:r>
        <w:rPr>
          <w:rFonts w:ascii="Times New Roman" w:cs="Times New Roman" w:eastAsia="Times New Roman" w:hAnsi="Times New Roman"/>
          <w:sz w:val="18"/>
          <w:szCs w:val="18"/>
          <w:color w:val="auto"/>
        </w:rPr>
        <w:t xml:space="preserve">Neither the Administrative Agent nor the Sustainability Agent shall have any duties or obligations except those expressly set forth in the Loan Documents. Without limiting the generality of the foregoing, (a) neither the Administrative Agent nor the Sustainability Agent shall be subject to any fiduciary or other implied duties, regardless of whether a Default has occurred and is continuing, (b) neither the Administrative Agent nor the Sustainability Agent shall have any duty to take any discretionary action or exercise any discretionary powers, except discretionary rights and powers expressly contemplated by the Loan Documents that the Administrative Agent or the Sustainability Agent, as applicable, is required to exercise in writing as directed by the Required Lenders (or such other number or percentage of the Lenders as shall be necessary under the circumstances as provided in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the Sustainability Agent shall be required to take any action that, in its opinion or the opinion of its counsel, may expose the Administrative Agent or the Sustainability Agent to liability or that is contrary to any Loan Document or applicable law, including for the avoidance of doubt any action that may be in violation of the automatic stay under any debtor relief law or other insolvency law or that may effect a forfeiture, modification or termination of property of a Defaulting Lender in violation of any such debtor relief law or insolvency law; and (c) except as expressly set forth in the Loan Documents, neither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nor the Sustainability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bad faith or willful misconduct. The Administrative Agent shall be deemed not to have knowledge of any Default unless and until written notice thereof is given to the Administrative Agent by the Company or a Lender, and neither the Administrative Agent nor the Sustainability Agent shall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w:t>
      </w:r>
    </w:p>
    <w:p>
      <w:pPr>
        <w:spacing w:after="0" w:line="10" w:lineRule="exact"/>
        <w:rPr>
          <w:sz w:val="20"/>
          <w:szCs w:val="20"/>
          <w:color w:val="auto"/>
        </w:rPr>
      </w:pPr>
    </w:p>
    <w:p>
      <w:pPr>
        <w:jc w:val="both"/>
        <w:ind w:left="2" w:right="20" w:hanging="2"/>
        <w:spacing w:after="0" w:line="254" w:lineRule="auto"/>
        <w:tabs>
          <w:tab w:leader="none" w:pos="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condition set forth in Article IV or elsewhere in any Loan Document, other than to confirm receipt of items expressly required to be delivered to the Administrative Agent. In determining compliance with any condition hereunder to the making of a Loan, or the issuance, extension, renewal or increase of a Letter of Credit, that by its terms must be fulfilled to the satisfaction of a Lender or the applicable Issuing Bank, the Administrative Agent may presume that</w:t>
      </w:r>
    </w:p>
    <w:p>
      <w:pPr>
        <w:sectPr>
          <w:pgSz w:w="11900" w:h="16838" w:orient="portrait"/>
          <w:cols w:equalWidth="0" w:num="1">
            <w:col w:w="11262"/>
          </w:cols>
          <w:pgMar w:left="318" w:top="634" w:right="319" w:bottom="1440" w:gutter="0" w:footer="0" w:header="0"/>
        </w:sectPr>
      </w:pPr>
    </w:p>
    <w:bookmarkStart w:id="169" w:name="page170"/>
    <w:bookmarkEnd w:id="169"/>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such condition is satisfactory to such Lender or the applicable Issuing Bank unless the Administrative Agent shall have received notice to the contrary from such Lender or the applicable Issuing Bank prior to the making of such Loan or the issuance of such Letter of Credit. In determining compliance with any condition hereunder to the making of a Loan, or the issuance, extension, renewal or increase of a Letter of Credit, that by its terms must be fulfilled to the satisfaction of a Lender or the applicable Issuing Bank, the Administrative Agent may presume that such condition is satisfactory to such Lender or the applicable Issuing Bank unless the Administrative Agent shall have received notice to the contrary from such Lender or the applicable Issuing Bank prior to the making of such Loan or the issuance of such Letter of Credit.</w:t>
      </w:r>
    </w:p>
    <w:p>
      <w:pPr>
        <w:spacing w:after="0" w:line="197"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auto"/>
        </w:rPr>
        <w:t>The Administrative Agent and the Sustainability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and the Sustainability Agent also may rely upon any statement made to it orally or by telephone and believed by it to be made by the proper Person, and shall not incur any liability for relying thereon. The Administrative Agent and the Sustainability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auto"/>
        </w:rPr>
        <w:t>The Administrative Agent and the Sustainability Agent may perform any and all its duties and exercise its rights and powers by or through any one or more sub-agents appointed by the Administrative Agent or the Sustainability Agent, as applicable. The Administrative Agent, the Sustainability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the Sustainability Agent and any such sub-agent, and shall apply to their respective activities in connection with the syndication of the credit facilities provided for herein as well as activities as Administrative Agent and Sustainability Agent.</w:t>
      </w:r>
    </w:p>
    <w:p>
      <w:pPr>
        <w:spacing w:after="0" w:line="197"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auto"/>
        </w:rPr>
        <w:t>Subject to the appointment and acceptance of a successor Administrative Agent as provided in this paragraph, the Administrative Agent may resign at any time by giving thirty (30) days’ prior written notice thereof to the Lenders, the Issuing Banks and the Company. Upon any such resignation, the Required Lenders shall have the right, in consultation with the Company and, so long as no Event of Default pursuant to paragraph (a), (b),</w:t>
      </w:r>
    </w:p>
    <w:p>
      <w:pPr>
        <w:spacing w:after="0" w:line="1" w:lineRule="exact"/>
        <w:rPr>
          <w:sz w:val="20"/>
          <w:szCs w:val="20"/>
          <w:color w:val="auto"/>
        </w:rPr>
      </w:pPr>
    </w:p>
    <w:p>
      <w:pPr>
        <w:jc w:val="both"/>
        <w:ind w:left="2" w:hanging="2"/>
        <w:spacing w:after="0" w:line="252" w:lineRule="auto"/>
        <w:tabs>
          <w:tab w:leader="none" w:pos="25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 under Article VII has occurred and is continuing, with the Company’s prior written consent,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Whether or not a successor has been appointed, such resignation shall become effective in accordance with such notice.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85" w:lineRule="exact"/>
        <w:rPr>
          <w:sz w:val="20"/>
          <w:szCs w:val="20"/>
          <w:color w:val="auto"/>
        </w:rPr>
      </w:pPr>
    </w:p>
    <w:p>
      <w:pPr>
        <w:jc w:val="both"/>
        <w:ind w:left="2" w:firstLine="1178"/>
        <w:spacing w:after="0" w:line="260" w:lineRule="auto"/>
        <w:rPr>
          <w:sz w:val="20"/>
          <w:szCs w:val="20"/>
          <w:color w:val="auto"/>
        </w:rPr>
      </w:pPr>
      <w:r>
        <w:rPr>
          <w:rFonts w:ascii="Times New Roman" w:cs="Times New Roman" w:eastAsia="Times New Roman" w:hAnsi="Times New Roman"/>
          <w:sz w:val="18"/>
          <w:szCs w:val="18"/>
          <w:color w:val="auto"/>
        </w:rPr>
        <w:t>Any resignation by Bank of America, N.A. as Administrative Agent pursuant to this Section shall also constitute its resignation as an Issuing Bank and Swingline Lender. If Bank of America, N.A. resigns as an Issuing Bank, it shall retain all the rights, powers, privileges and duties of an Issuing Bank hereunder with respect to all Letters of Credit outstanding and issued by it as of the effective date of its resignation as Issuing Bank and all LC Exposure with respect thereto, including the right to require the Lenders to fund risk participations in unreimbursed LC Disbursements pursuant to Section 2.06(e). If Bank</w:t>
      </w:r>
    </w:p>
    <w:p>
      <w:pPr>
        <w:sectPr>
          <w:pgSz w:w="11900" w:h="16838" w:orient="portrait"/>
          <w:cols w:equalWidth="0" w:num="1">
            <w:col w:w="11242"/>
          </w:cols>
          <w:pgMar w:left="318" w:top="634" w:right="339" w:bottom="1440" w:gutter="0" w:footer="0" w:header="0"/>
        </w:sectPr>
      </w:pPr>
    </w:p>
    <w:bookmarkStart w:id="170" w:name="page171"/>
    <w:bookmarkEnd w:id="170"/>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of America, N.A. resigns as Swingline Lender, it shall retain all the rights of the Swingline Lender provided for hereunder with respect to Swingline Loans made by it and outstanding as of the effective date of such resignation, including the right to require the Lenders to fund risk participations in outstanding Swingline Loans pursuant to Section 2.05(c). Upon the appointment by the Company of a successor Issuing Bank or Swingline Lender hereunder (which successor shall in all cases be a Lender other than a Defaulting Lender),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N.A. to effectively assume the obligations of Bank of America, N.A. with respect to such Letters of Credit.</w:t>
      </w:r>
    </w:p>
    <w:p>
      <w:pPr>
        <w:spacing w:after="0" w:line="19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Sustainability Agent may at any time give notice of its resignation to the Company and the Lenders.</w:t>
      </w:r>
    </w:p>
    <w:p>
      <w:pPr>
        <w:spacing w:after="0" w:line="27" w:lineRule="exact"/>
        <w:rPr>
          <w:sz w:val="20"/>
          <w:szCs w:val="20"/>
          <w:color w:val="auto"/>
        </w:rPr>
      </w:pPr>
    </w:p>
    <w:p>
      <w:pPr>
        <w:jc w:val="both"/>
        <w:ind w:right="20" w:firstLine="1178"/>
        <w:spacing w:after="0" w:line="251" w:lineRule="auto"/>
        <w:rPr>
          <w:sz w:val="20"/>
          <w:szCs w:val="20"/>
          <w:color w:val="auto"/>
        </w:rPr>
      </w:pPr>
      <w:r>
        <w:rPr>
          <w:rFonts w:ascii="Times New Roman" w:cs="Times New Roman" w:eastAsia="Times New Roman" w:hAnsi="Times New Roman"/>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the Sustainability Agent or any other Lender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Sustainability Agent or any other Lender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 and in deciding whether or to the extent to which it will continue as a lender or assign or otherwise transfer its rights, interests and obligations hereunder.</w:t>
      </w:r>
    </w:p>
    <w:p>
      <w:pPr>
        <w:spacing w:after="0" w:line="202"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None of the Lenders, if any, identified in this Agreement as a Lead Arranger, Co-Syndication Agent or Co-Documentation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Lead Arrangers, Co-Syndication Agents or Co-Documentation Agents, as applicable, as it makes with respect to the Administrative Agent and the Sustainability Agent in the preceding paragraph.</w:t>
      </w:r>
    </w:p>
    <w:p>
      <w:pPr>
        <w:spacing w:after="0" w:line="184"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auto"/>
        </w:rPr>
        <w:t>The Lenders are not partners or co-venturers, and no Lender shall be liable for the acts or omissions of, or (except as otherwise set forth herein in case of the Administrative Agent and the Sustainability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92" w:lineRule="exact"/>
        <w:rPr>
          <w:sz w:val="20"/>
          <w:szCs w:val="20"/>
          <w:color w:val="auto"/>
        </w:rPr>
      </w:pPr>
    </w:p>
    <w:p>
      <w:pPr>
        <w:ind w:right="120" w:firstLine="1178"/>
        <w:spacing w:after="0" w:line="254" w:lineRule="auto"/>
        <w:rPr>
          <w:sz w:val="20"/>
          <w:szCs w:val="20"/>
          <w:color w:val="auto"/>
        </w:rPr>
      </w:pPr>
      <w:r>
        <w:rPr>
          <w:rFonts w:ascii="Times New Roman" w:cs="Times New Roman" w:eastAsia="Times New Roman" w:hAnsi="Times New Roman"/>
          <w:sz w:val="18"/>
          <w:szCs w:val="18"/>
          <w:color w:val="auto"/>
        </w:rPr>
        <w:t>Each Lender and each Issuing Bank expressly acknowledges that none of the Administrative Agent, the Sustainability Agent nor any Lead Arranger has made any representation or warranty to it, and that no act by the Administrative Agent, the Sustainability Agent or any Lead Arranger hereafter taken, including any consent to, and acceptance of any assignment or review of the affairs of any Borrowers of any Affiliate thereof, shall be deemed to constitute any representation or warranty by the Administrative Agent, the Sustainability Agent or any Lead Arranger to any Lender or each Issuing Bank as to any matter, including whether the Administrative Agent, the Sustainability Agent or any Lead Arranger have disclosed material information in their (or their Related Parties’) possession. Each Lender and each Issuing Bank represents to the Administrative Agent, the Sustainability Agent and any Lead Arranger that it has, independently and without reliance upon the Administrative Agent, the Sustainability Agent, any Lead</w:t>
      </w:r>
    </w:p>
    <w:p>
      <w:pPr>
        <w:sectPr>
          <w:pgSz w:w="11900" w:h="16838" w:orient="portrait"/>
          <w:cols w:equalWidth="0" w:num="1">
            <w:col w:w="11260"/>
          </w:cols>
          <w:pgMar w:left="320" w:top="634" w:right="319" w:bottom="1440" w:gutter="0" w:footer="0" w:header="0"/>
        </w:sectPr>
      </w:pPr>
    </w:p>
    <w:bookmarkStart w:id="171" w:name="page172"/>
    <w:bookmarkEnd w:id="171"/>
    <w:p>
      <w:pPr>
        <w:spacing w:after="0" w:line="252" w:lineRule="auto"/>
        <w:rPr>
          <w:sz w:val="20"/>
          <w:szCs w:val="20"/>
          <w:color w:val="auto"/>
        </w:rPr>
      </w:pPr>
      <w:r>
        <w:rPr>
          <w:rFonts w:ascii="Times New Roman" w:cs="Times New Roman" w:eastAsia="Times New Roman" w:hAnsi="Times New Roman"/>
          <w:sz w:val="18"/>
          <w:szCs w:val="18"/>
          <w:color w:val="auto"/>
        </w:rPr>
        <w:t>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Administrative Agent, the Sustainability Agent, any Lead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ectPr>
          <w:pgSz w:w="11900" w:h="16838" w:orient="portrait"/>
          <w:cols w:equalWidth="0" w:num="1">
            <w:col w:w="11180"/>
          </w:cols>
          <w:pgMar w:left="320" w:top="634" w:right="399" w:bottom="1440" w:gutter="0" w:footer="0" w:header="0"/>
        </w:sectPr>
      </w:pPr>
    </w:p>
    <w:bookmarkStart w:id="172" w:name="page173"/>
    <w:bookmarkEnd w:id="172"/>
    <w:p>
      <w:pPr>
        <w:ind w:left="5722"/>
        <w:spacing w:after="0"/>
        <w:rPr>
          <w:sz w:val="20"/>
          <w:szCs w:val="20"/>
          <w:color w:val="auto"/>
        </w:rPr>
      </w:pPr>
      <w:r>
        <w:rPr>
          <w:rFonts w:ascii="Times New Roman" w:cs="Times New Roman" w:eastAsia="Times New Roman" w:hAnsi="Times New Roman"/>
          <w:sz w:val="18"/>
          <w:szCs w:val="18"/>
          <w:color w:val="010000"/>
        </w:rPr>
        <w:t>ARTICLE IX</w:t>
      </w:r>
    </w:p>
    <w:p>
      <w:pPr>
        <w:spacing w:after="0" w:line="235"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2" w:lineRule="exact"/>
        <w:rPr>
          <w:sz w:val="20"/>
          <w:szCs w:val="20"/>
          <w:color w:val="auto"/>
        </w:rPr>
      </w:pPr>
    </w:p>
    <w:p>
      <w:pPr>
        <w:jc w:val="both"/>
        <w:ind w:left="2" w:firstLine="1178"/>
        <w:spacing w:after="0" w:line="271" w:lineRule="auto"/>
        <w:rPr>
          <w:sz w:val="20"/>
          <w:szCs w:val="20"/>
          <w:color w:val="auto"/>
        </w:rPr>
      </w:pPr>
      <w:r>
        <w:rPr>
          <w:rFonts w:ascii="Times New Roman" w:cs="Times New Roman" w:eastAsia="Times New Roman" w:hAnsi="Times New Roman"/>
          <w:sz w:val="18"/>
          <w:szCs w:val="18"/>
          <w:color w:val="010000"/>
        </w:rPr>
        <w:t xml:space="preserve">SECTION 9.01.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 Except in the case of notices and other communications expressly permitted to be given by telephone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to paragraph (b) below), all notices and other communications provided for herein shall be in writing and shall be delivered by hand or overnight courier service, mailed by certified or registered mail or sent by facsimile or telecopy, as follows:</w:t>
      </w:r>
    </w:p>
    <w:p>
      <w:pPr>
        <w:spacing w:after="0" w:line="170" w:lineRule="exact"/>
        <w:rPr>
          <w:sz w:val="20"/>
          <w:szCs w:val="20"/>
          <w:color w:val="auto"/>
        </w:rPr>
      </w:pPr>
    </w:p>
    <w:p>
      <w:pPr>
        <w:jc w:val="both"/>
        <w:ind w:left="2" w:firstLine="1176"/>
        <w:spacing w:after="0" w:line="260" w:lineRule="auto"/>
        <w:tabs>
          <w:tab w:leader="none" w:pos="1767" w:val="left"/>
        </w:tabs>
        <w:numPr>
          <w:ilvl w:val="1"/>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Borrower, to it c/o Tapestry, Inc., 10 Hudson Yards, New York, New York 10001 Attention of Treasurer, Katia DeVita (Telephone No. (212) 946-8400), with a copy (in the case of a notice of Default) to Chief Legal Officer, General Counsel, David Howard (Telephone No.</w:t>
      </w:r>
    </w:p>
    <w:p>
      <w:pPr>
        <w:ind w:left="442" w:hanging="442"/>
        <w:spacing w:after="0"/>
        <w:tabs>
          <w:tab w:leader="none" w:pos="44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946-8400);</w:t>
      </w:r>
    </w:p>
    <w:p>
      <w:pPr>
        <w:spacing w:after="0" w:line="214" w:lineRule="exact"/>
        <w:rPr>
          <w:rFonts w:ascii="Times New Roman" w:cs="Times New Roman" w:eastAsia="Times New Roman" w:hAnsi="Times New Roman"/>
          <w:sz w:val="18"/>
          <w:szCs w:val="18"/>
          <w:color w:val="auto"/>
        </w:rPr>
      </w:pPr>
    </w:p>
    <w:p>
      <w:pPr>
        <w:ind w:left="2" w:firstLine="1176"/>
        <w:spacing w:after="0" w:line="287" w:lineRule="auto"/>
        <w:tabs>
          <w:tab w:leader="none" w:pos="1767"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Bank of America, N.A., in its capacity as the Administrative Agent, an Issuing Bank or as the Swingline Lender, to the address, facsimile number, electronic mail address or telephone number specified in Schedule 9.01;</w:t>
      </w:r>
    </w:p>
    <w:p>
      <w:pPr>
        <w:spacing w:after="0" w:line="155" w:lineRule="exact"/>
        <w:rPr>
          <w:rFonts w:ascii="Times New Roman" w:cs="Times New Roman" w:eastAsia="Times New Roman" w:hAnsi="Times New Roman"/>
          <w:sz w:val="18"/>
          <w:szCs w:val="18"/>
          <w:color w:val="010000"/>
        </w:rPr>
      </w:pPr>
    </w:p>
    <w:p>
      <w:pPr>
        <w:ind w:left="1762" w:hanging="584"/>
        <w:spacing w:after="0"/>
        <w:tabs>
          <w:tab w:leader="none" w:pos="1762"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other Lender or Issuing Bank, to it at its address (or telecopy number) set forth in its Administrative Questionnaire.</w:t>
      </w:r>
    </w:p>
    <w:p>
      <w:pPr>
        <w:spacing w:after="0" w:line="235" w:lineRule="exact"/>
        <w:rPr>
          <w:sz w:val="20"/>
          <w:szCs w:val="20"/>
          <w:color w:val="auto"/>
        </w:rPr>
      </w:pPr>
    </w:p>
    <w:p>
      <w:pPr>
        <w:jc w:val="both"/>
        <w:ind w:left="2" w:firstLine="1178"/>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79" w:lineRule="exact"/>
        <w:rPr>
          <w:sz w:val="20"/>
          <w:szCs w:val="20"/>
          <w:color w:val="auto"/>
        </w:rPr>
      </w:pPr>
    </w:p>
    <w:p>
      <w:pPr>
        <w:jc w:val="both"/>
        <w:ind w:left="2" w:firstLine="1176"/>
        <w:spacing w:after="0" w:line="256" w:lineRule="auto"/>
        <w:tabs>
          <w:tab w:leader="none" w:pos="1757" w:val="left"/>
        </w:tabs>
        <w:numPr>
          <w:ilvl w:val="1"/>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Notices and other communications to the Lenders and the Issuing Banks hereunder may be delivered or furnished by using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Company may, in its discretion, agree</w:t>
      </w:r>
    </w:p>
    <w:p>
      <w:pPr>
        <w:spacing w:after="0" w:line="1"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8"/>
          <w:szCs w:val="18"/>
          <w:color w:val="auto"/>
        </w:rPr>
        <w:t xml:space="preserve">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68" w:lineRule="exact"/>
        <w:rPr>
          <w:sz w:val="20"/>
          <w:szCs w:val="20"/>
          <w:color w:val="auto"/>
        </w:rPr>
      </w:pPr>
    </w:p>
    <w:p>
      <w:pPr>
        <w:jc w:val="both"/>
        <w:ind w:left="2" w:firstLine="1178"/>
        <w:spacing w:after="0" w:line="256"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5" w:lineRule="exact"/>
        <w:rPr>
          <w:sz w:val="20"/>
          <w:szCs w:val="20"/>
          <w:color w:val="auto"/>
        </w:rPr>
      </w:pPr>
    </w:p>
    <w:p>
      <w:pPr>
        <w:jc w:val="both"/>
        <w:ind w:left="2" w:firstLine="1176"/>
        <w:spacing w:after="0" w:line="264" w:lineRule="auto"/>
        <w:tabs>
          <w:tab w:leader="none" w:pos="1760"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8" w:lineRule="exact"/>
        <w:rPr>
          <w:rFonts w:ascii="Times New Roman" w:cs="Times New Roman" w:eastAsia="Times New Roman" w:hAnsi="Times New Roman"/>
          <w:sz w:val="18"/>
          <w:szCs w:val="18"/>
          <w:color w:val="010000"/>
        </w:rPr>
      </w:pPr>
    </w:p>
    <w:p>
      <w:pPr>
        <w:ind w:left="1762" w:hanging="584"/>
        <w:spacing w:after="0"/>
        <w:tabs>
          <w:tab w:leader="none" w:pos="1762"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Electronic Systems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2" w:firstLine="1176"/>
        <w:spacing w:after="0" w:line="273" w:lineRule="auto"/>
        <w:tabs>
          <w:tab w:leader="none" w:pos="1767"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agrees that the Administrative Agent may, but shall not be obligated to, make Communications (as defined below) available to the Issuing Banks and the other Lenders by</w:t>
      </w:r>
    </w:p>
    <w:p>
      <w:pPr>
        <w:sectPr>
          <w:pgSz w:w="11900" w:h="16838" w:orient="portrait"/>
          <w:cols w:equalWidth="0" w:num="1">
            <w:col w:w="11242"/>
          </w:cols>
          <w:pgMar w:left="318" w:top="634" w:right="339" w:bottom="1440" w:gutter="0" w:footer="0" w:header="0"/>
        </w:sectPr>
      </w:pPr>
    </w:p>
    <w:bookmarkStart w:id="173" w:name="page174"/>
    <w:bookmarkEnd w:id="173"/>
    <w:p>
      <w:pPr>
        <w:ind w:left="2"/>
        <w:spacing w:after="0"/>
        <w:rPr>
          <w:sz w:val="20"/>
          <w:szCs w:val="20"/>
          <w:color w:val="auto"/>
        </w:rPr>
      </w:pPr>
      <w:r>
        <w:rPr>
          <w:rFonts w:ascii="Times New Roman" w:cs="Times New Roman" w:eastAsia="Times New Roman" w:hAnsi="Times New Roman"/>
          <w:sz w:val="18"/>
          <w:szCs w:val="18"/>
          <w:color w:val="auto"/>
        </w:rPr>
        <w:t>posting the Communications on Debt Domain, Intralinks, SyndTrak, ClearPar or a substantially similar Electronic System.</w:t>
      </w:r>
    </w:p>
    <w:p>
      <w:pPr>
        <w:spacing w:after="0" w:line="235" w:lineRule="exact"/>
        <w:rPr>
          <w:sz w:val="20"/>
          <w:szCs w:val="20"/>
          <w:color w:val="auto"/>
        </w:rPr>
      </w:pPr>
    </w:p>
    <w:p>
      <w:pPr>
        <w:jc w:val="both"/>
        <w:ind w:left="2" w:firstLine="1176"/>
        <w:spacing w:after="0" w:line="253" w:lineRule="auto"/>
        <w:tabs>
          <w:tab w:leader="none" w:pos="1767" w:val="left"/>
        </w:tabs>
        <w:numPr>
          <w:ilvl w:val="0"/>
          <w:numId w:val="1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any Issuing Bank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Borrower pursuant to any Loan Document or the transactions contemplated therein which is distributed by the Administrative Agent, any Lender or any Issuing Bank by means of electronic communications pursuant to this Section, including through an Electronic System.</w:t>
      </w:r>
    </w:p>
    <w:p>
      <w:pPr>
        <w:spacing w:after="0" w:line="189" w:lineRule="exact"/>
        <w:rPr>
          <w:sz w:val="20"/>
          <w:szCs w:val="20"/>
          <w:color w:val="auto"/>
        </w:rPr>
      </w:pPr>
    </w:p>
    <w:p>
      <w:pPr>
        <w:jc w:val="both"/>
        <w:ind w:left="2"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9.02. </w:t>
      </w:r>
      <w:r>
        <w:rPr>
          <w:rFonts w:ascii="Times New Roman" w:cs="Times New Roman" w:eastAsia="Times New Roman" w:hAnsi="Times New Roman"/>
          <w:sz w:val="18"/>
          <w:szCs w:val="18"/>
          <w:u w:val="single" w:color="auto"/>
          <w:color w:val="000000"/>
        </w:rPr>
        <w:t>Waivers; Amendments</w:t>
      </w:r>
      <w:r>
        <w:rPr>
          <w:rFonts w:ascii="Times New Roman" w:cs="Times New Roman" w:eastAsia="Times New Roman" w:hAnsi="Times New Roman"/>
          <w:sz w:val="18"/>
          <w:szCs w:val="18"/>
          <w:color w:val="000000"/>
        </w:rPr>
        <w:t>. (a) No failure or delay by the Administrative Agent, any Issuing Bank or any Lender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00" w:lineRule="exact"/>
        <w:rPr>
          <w:sz w:val="20"/>
          <w:szCs w:val="20"/>
          <w:color w:val="auto"/>
        </w:rPr>
      </w:pPr>
    </w:p>
    <w:p>
      <w:pPr>
        <w:jc w:val="both"/>
        <w:ind w:left="2" w:firstLine="1176"/>
        <w:spacing w:after="0" w:line="253" w:lineRule="auto"/>
        <w:tabs>
          <w:tab w:leader="none" w:pos="1757" w:val="left"/>
        </w:tabs>
        <w:numPr>
          <w:ilvl w:val="1"/>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provided in Sections 2.20 or 2.25 with respect to the extension of any Maturity Date,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 w:lineRule="exact"/>
        <w:rPr>
          <w:rFonts w:ascii="Times New Roman" w:cs="Times New Roman" w:eastAsia="Times New Roman" w:hAnsi="Times New Roman"/>
          <w:sz w:val="18"/>
          <w:szCs w:val="18"/>
          <w:color w:val="010000"/>
        </w:rPr>
      </w:pPr>
    </w:p>
    <w:p>
      <w:pPr>
        <w:jc w:val="both"/>
        <w:ind w:left="2" w:hanging="2"/>
        <w:spacing w:after="0" w:line="249" w:lineRule="auto"/>
        <w:tabs>
          <w:tab w:leader="none" w:pos="2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to the financial covenants in this Agreement (or the defined terms used in the financial covenants to this Agreement) shall not constitute a reduction in the rate of interest or fees for purposes of this clause (ii) even if the effect of such amendment or modification would be to reduce the rate of interest on any Loan or any LC Disbursement or to reduce any fee payable hereunder and (y) that only the consent of the Required Lenders shall be necessary to reduce or waive any obligation of the Borrowers to pay interest or fees at the applicable default rate set forth in Section 2.13(c),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2.18(b) or (d) in a manner that would alter the pro rata sharing of payments required thereby, without the written consent of each Lender,</w:t>
      </w:r>
    </w:p>
    <w:p>
      <w:pPr>
        <w:spacing w:after="0" w:line="6" w:lineRule="exact"/>
        <w:rPr>
          <w:rFonts w:ascii="Times New Roman" w:cs="Times New Roman" w:eastAsia="Times New Roman" w:hAnsi="Times New Roman"/>
          <w:sz w:val="18"/>
          <w:szCs w:val="18"/>
          <w:color w:val="auto"/>
        </w:rPr>
      </w:pPr>
    </w:p>
    <w:p>
      <w:pPr>
        <w:jc w:val="both"/>
        <w:ind w:left="2" w:firstLine="1176"/>
        <w:spacing w:after="0" w:line="260" w:lineRule="auto"/>
        <w:tabs>
          <w:tab w:leader="none" w:pos="146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the Company from its obligations under Article X without the written</w:t>
      </w:r>
    </w:p>
    <w:p>
      <w:pPr>
        <w:sectPr>
          <w:pgSz w:w="11900" w:h="16838" w:orient="portrait"/>
          <w:cols w:equalWidth="0" w:num="1">
            <w:col w:w="11242"/>
          </w:cols>
          <w:pgMar w:left="318" w:top="634" w:right="339" w:bottom="1440" w:gutter="0" w:footer="0" w:header="0"/>
        </w:sectPr>
      </w:pPr>
    </w:p>
    <w:bookmarkStart w:id="174" w:name="page175"/>
    <w:bookmarkEnd w:id="17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(1)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each Issuing Bank and the Swingline Lender) and (2) no amendment, waiver or consent hereunder may affect one Class of the Lenders’ Loans or Commitments more adversely vis-a-vis the other Class without the consent of the Lenders having a majority interest of the outstanding principal of Loans and Commitments of such adversely affected Class, as applicable.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00" w:lineRule="exact"/>
        <w:rPr>
          <w:sz w:val="20"/>
          <w:szCs w:val="20"/>
          <w:color w:val="auto"/>
        </w:rPr>
      </w:pPr>
    </w:p>
    <w:p>
      <w:pPr>
        <w:ind w:left="1760" w:hanging="584"/>
        <w:spacing w:after="0"/>
        <w:tabs>
          <w:tab w:leader="none" w:pos="1760" w:val="left"/>
        </w:tabs>
        <w:numPr>
          <w:ilvl w:val="0"/>
          <w:numId w:val="1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[Intentionally Omitted].</w:t>
      </w:r>
    </w:p>
    <w:p>
      <w:pPr>
        <w:spacing w:after="0" w:line="222" w:lineRule="exact"/>
        <w:rPr>
          <w:rFonts w:ascii="Times New Roman" w:cs="Times New Roman" w:eastAsia="Times New Roman" w:hAnsi="Times New Roman"/>
          <w:sz w:val="18"/>
          <w:szCs w:val="18"/>
          <w:color w:val="010000"/>
        </w:rPr>
      </w:pPr>
    </w:p>
    <w:p>
      <w:pPr>
        <w:jc w:val="both"/>
        <w:ind w:firstLine="1176"/>
        <w:spacing w:after="0" w:line="253" w:lineRule="auto"/>
        <w:tabs>
          <w:tab w:leader="none" w:pos="1756" w:val="left"/>
        </w:tabs>
        <w:numPr>
          <w:ilvl w:val="0"/>
          <w:numId w:val="1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w:t>
      </w:r>
    </w:p>
    <w:p>
      <w:pPr>
        <w:spacing w:after="0" w:line="1" w:lineRule="exact"/>
        <w:rPr>
          <w:rFonts w:ascii="Times New Roman" w:cs="Times New Roman" w:eastAsia="Times New Roman" w:hAnsi="Times New Roman"/>
          <w:sz w:val="18"/>
          <w:szCs w:val="18"/>
          <w:color w:val="010000"/>
        </w:rPr>
      </w:pPr>
    </w:p>
    <w:p>
      <w:pPr>
        <w:jc w:val="both"/>
        <w:ind w:firstLine="1176"/>
        <w:spacing w:after="0" w:line="254" w:lineRule="auto"/>
        <w:tabs>
          <w:tab w:leader="none" w:pos="14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85" w:lineRule="exact"/>
        <w:rPr>
          <w:rFonts w:ascii="Times New Roman" w:cs="Times New Roman" w:eastAsia="Times New Roman" w:hAnsi="Times New Roman"/>
          <w:sz w:val="18"/>
          <w:szCs w:val="18"/>
          <w:color w:val="auto"/>
        </w:rPr>
      </w:pPr>
    </w:p>
    <w:p>
      <w:pPr>
        <w:ind w:firstLine="1176"/>
        <w:spacing w:after="0" w:line="287" w:lineRule="auto"/>
        <w:tabs>
          <w:tab w:leader="none" w:pos="1758" w:val="left"/>
        </w:tabs>
        <w:numPr>
          <w:ilvl w:val="0"/>
          <w:numId w:val="1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to the contrary herein the Administrative Agent may, with the consent of the Borrowers only, amend, modify or supplement this Agreement or any of the other Loan Documents to cure any ambiguity, omission, mistake, defect or inconsistency.</w:t>
      </w:r>
    </w:p>
    <w:p>
      <w:pPr>
        <w:spacing w:after="0" w:line="15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9.03. </w:t>
      </w:r>
      <w:r>
        <w:rPr>
          <w:rFonts w:ascii="Times New Roman" w:cs="Times New Roman" w:eastAsia="Times New Roman" w:hAnsi="Times New Roman"/>
          <w:sz w:val="18"/>
          <w:szCs w:val="18"/>
          <w:u w:val="single" w:color="auto"/>
          <w:color w:val="000000"/>
        </w:rPr>
        <w:t>Expenses; Indemnity; Damage Waiver</w:t>
      </w:r>
      <w:r>
        <w:rPr>
          <w:rFonts w:ascii="Times New Roman" w:cs="Times New Roman" w:eastAsia="Times New Roman" w:hAnsi="Times New Roman"/>
          <w:sz w:val="18"/>
          <w:szCs w:val="18"/>
          <w:color w:val="000000"/>
        </w:rPr>
        <w:t>. (a) The Company shall pay (i) all reasonable out-of-pocket expenses incurred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Administrative Agent and its Affiliates, including the reasonable fees, charges and disbursements of one primary counsel for the Administrative Agent and one local counsel in each applicable jurisdiction, in connection with the syndication and distribution (including, without limitation, via the internet or through a service such as Intralinks or SyndTrak)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(provided, however, that if the Effective Date does not occur, the Company shall not be required to reimburse the Administrative Agent and its Affiliates for any such expenses (other than such legal fees)), (ii) all reasonable out-of-pocket expenses incurred by the Issuing Banks in connection with the issuance, amendment, renewal or extension of any Letter of Credit or any demand for payment thereunder and (iii) all out-of-pocket expenses incurred by the Administrative Agent, any Issuing Bank or any Lender, including the reasonable fees, charges and disbursements of one primary counsel and of any special and local counsel for the Administrative Agent and the Issuing Banks and one additional counsel for all Lenders other than the Administrative Agent and additional counsel in light of actual or potential conflicts of interest or the availability of different claims or defenses, in connection with the enforcement or protection of its rights in connection with this Agreement and any other Loan Document, including its rights under this Section, or in</w:t>
      </w:r>
    </w:p>
    <w:p>
      <w:pPr>
        <w:sectPr>
          <w:pgSz w:w="11900" w:h="16838" w:orient="portrait"/>
          <w:cols w:equalWidth="0" w:num="1">
            <w:col w:w="11240"/>
          </w:cols>
          <w:pgMar w:left="320" w:top="634" w:right="339" w:bottom="1440" w:gutter="0" w:footer="0" w:header="0"/>
        </w:sectPr>
      </w:pPr>
    </w:p>
    <w:bookmarkStart w:id="175" w:name="page176"/>
    <w:bookmarkEnd w:id="175"/>
    <w:p>
      <w:pPr>
        <w:spacing w:after="0" w:line="287" w:lineRule="auto"/>
        <w:rPr>
          <w:sz w:val="20"/>
          <w:szCs w:val="20"/>
          <w:color w:val="auto"/>
        </w:rPr>
      </w:pPr>
      <w:r>
        <w:rPr>
          <w:rFonts w:ascii="Times New Roman" w:cs="Times New Roman" w:eastAsia="Times New Roman" w:hAnsi="Times New Roman"/>
          <w:sz w:val="18"/>
          <w:szCs w:val="18"/>
          <w:color w:val="auto"/>
        </w:rPr>
        <w:t>connection with the Loans made or Letters of Credit issued hereunder, including all such out-of-pocket expenses incurred during any workout, restructuring or negotiations in respect of such Loans or Letters of Credit.</w:t>
      </w:r>
    </w:p>
    <w:p>
      <w:pPr>
        <w:spacing w:after="0" w:line="155" w:lineRule="exact"/>
        <w:rPr>
          <w:sz w:val="20"/>
          <w:szCs w:val="20"/>
          <w:color w:val="auto"/>
        </w:rPr>
      </w:pPr>
    </w:p>
    <w:p>
      <w:pPr>
        <w:jc w:val="both"/>
        <w:ind w:firstLine="1176"/>
        <w:spacing w:after="0" w:line="251" w:lineRule="auto"/>
        <w:tabs>
          <w:tab w:leader="none" w:pos="1756" w:val="left"/>
        </w:tabs>
        <w:numPr>
          <w:ilvl w:val="0"/>
          <w:numId w:val="1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of its Subsidiaries,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such Indemnitee’s gross negligence or willful misconduct, (ii) such Indemnitee’s material breach of its obligations under this Agreement and the other Loan Documents or (iii) any investigation, litigation, claim, proceeding or defense not involving an act or omission by the Company or any of its Affiliates and that is brought by an Indemnitee against another Indemnitee (other than in its capacity as a Joint Lead Arranger (or similar agent) or as the Administrative Agent). This Section 9.03(b) shall not apply with respect to Taxes other than any Taxes that represent losses, claims or damages arising from any non-Tax claim.</w:t>
      </w:r>
    </w:p>
    <w:p>
      <w:pPr>
        <w:spacing w:after="0" w:line="14" w:lineRule="exact"/>
        <w:rPr>
          <w:rFonts w:ascii="Times New Roman" w:cs="Times New Roman" w:eastAsia="Times New Roman" w:hAnsi="Times New Roman"/>
          <w:sz w:val="18"/>
          <w:szCs w:val="18"/>
          <w:color w:val="010000"/>
        </w:rPr>
      </w:pPr>
    </w:p>
    <w:p>
      <w:pPr>
        <w:ind w:firstLine="1176"/>
        <w:spacing w:after="0" w:line="248" w:lineRule="auto"/>
        <w:tabs>
          <w:tab w:leader="none" w:pos="1758" w:val="left"/>
        </w:tabs>
        <w:numPr>
          <w:ilvl w:val="0"/>
          <w:numId w:val="1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that the Company fails to pay any amount required to be paid by it to the Administrative Agent, any Issuing Bank or the Swingline Lender under paragraph (a) or</w:t>
      </w:r>
    </w:p>
    <w:p>
      <w:pPr>
        <w:spacing w:after="0" w:line="1" w:lineRule="exact"/>
        <w:rPr>
          <w:rFonts w:ascii="Times New Roman" w:cs="Times New Roman" w:eastAsia="Times New Roman" w:hAnsi="Times New Roman"/>
          <w:sz w:val="18"/>
          <w:szCs w:val="18"/>
          <w:color w:val="010000"/>
        </w:rPr>
      </w:pPr>
    </w:p>
    <w:p>
      <w:pPr>
        <w:jc w:val="both"/>
        <w:ind w:firstLine="1176"/>
        <w:spacing w:after="0" w:line="253" w:lineRule="auto"/>
        <w:tabs>
          <w:tab w:leader="none" w:pos="143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each Lender severally agrees to pay to the Administrative Agent, and each Revolving Lender severally agrees to pay to such Issuing Bank 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86" w:lineRule="exact"/>
        <w:rPr>
          <w:rFonts w:ascii="Times New Roman" w:cs="Times New Roman" w:eastAsia="Times New Roman" w:hAnsi="Times New Roman"/>
          <w:sz w:val="18"/>
          <w:szCs w:val="18"/>
          <w:color w:val="auto"/>
        </w:rPr>
      </w:pPr>
    </w:p>
    <w:p>
      <w:pPr>
        <w:jc w:val="both"/>
        <w:ind w:firstLine="1176"/>
        <w:spacing w:after="0" w:line="260" w:lineRule="auto"/>
        <w:tabs>
          <w:tab w:leader="none" w:pos="1756" w:val="left"/>
        </w:tabs>
        <w:numPr>
          <w:ilvl w:val="0"/>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applicable law, no Borrower shall assert, and each Borrower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amounts due under this Section shall be payable not later than fifteen (15) days after written demand therefor.</w:t>
      </w:r>
    </w:p>
    <w:p>
      <w:pPr>
        <w:spacing w:after="0" w:line="235" w:lineRule="exact"/>
        <w:rPr>
          <w:sz w:val="20"/>
          <w:szCs w:val="20"/>
          <w:color w:val="auto"/>
        </w:rPr>
      </w:pPr>
    </w:p>
    <w:p>
      <w:pPr>
        <w:ind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9.04.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(a) The provisions of this Agreement shall be binding upon and inure to the benefit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hereto and their respective successors and assigns permitted hereby (including any Affiliate of any Issuing Bank that issues any Letter</w:t>
      </w:r>
    </w:p>
    <w:p>
      <w:pPr>
        <w:sectPr>
          <w:pgSz w:w="11900" w:h="16838" w:orient="portrait"/>
          <w:cols w:equalWidth="0" w:num="1">
            <w:col w:w="11240"/>
          </w:cols>
          <w:pgMar w:left="320" w:top="634" w:right="339" w:bottom="1440" w:gutter="0" w:footer="0" w:header="0"/>
        </w:sectPr>
      </w:pPr>
    </w:p>
    <w:bookmarkStart w:id="176" w:name="page177"/>
    <w:bookmarkEnd w:id="176"/>
    <w:p>
      <w:pPr>
        <w:jc w:val="both"/>
        <w:spacing w:after="0" w:line="256" w:lineRule="auto"/>
        <w:rPr>
          <w:sz w:val="20"/>
          <w:szCs w:val="20"/>
          <w:color w:val="auto"/>
        </w:rPr>
      </w:pPr>
      <w:r>
        <w:rPr>
          <w:rFonts w:ascii="Times New Roman" w:cs="Times New Roman" w:eastAsia="Times New Roman" w:hAnsi="Times New Roman"/>
          <w:sz w:val="18"/>
          <w:szCs w:val="18"/>
          <w:color w:val="auto"/>
        </w:rPr>
        <w:t>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5" w:lineRule="exact"/>
        <w:rPr>
          <w:sz w:val="20"/>
          <w:szCs w:val="20"/>
          <w:color w:val="auto"/>
        </w:rPr>
      </w:pPr>
    </w:p>
    <w:p>
      <w:pPr>
        <w:jc w:val="both"/>
        <w:ind w:firstLine="1176"/>
        <w:spacing w:after="0" w:line="271" w:lineRule="auto"/>
        <w:tabs>
          <w:tab w:leader="none" w:pos="1756" w:val="left"/>
        </w:tabs>
        <w:numPr>
          <w:ilvl w:val="0"/>
          <w:numId w:val="1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70" w:lineRule="exact"/>
        <w:rPr>
          <w:sz w:val="20"/>
          <w:szCs w:val="20"/>
          <w:color w:val="auto"/>
        </w:rPr>
      </w:pPr>
    </w:p>
    <w:p>
      <w:pPr>
        <w:jc w:val="both"/>
        <w:ind w:firstLine="1176"/>
        <w:spacing w:after="0" w:line="260" w:lineRule="auto"/>
        <w:tabs>
          <w:tab w:leader="none" w:pos="1759"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(1) with respect to any assignments of Delayed Draw Term Loans, Delayed Draw Term Loan Commitments, Revolving Loans and Revolving Commitments, no consent of the Company shall be required for an assignment to a Lender, an Affiliate of a Lender, an Approved Fund, a Permitted Assignee or, if an Event of Default under paragraphs (a), (b), (h) or (i) under Article VII has occurred and is continuing, any other assignee; and (2) with respect to assignments of any Loans or Commitments hereunder, the Company’s consent shall be deemed to have been provided if the Company shall not have responded to a written request therefor within five Business Days; and</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and</w:t>
      </w:r>
    </w:p>
    <w:p>
      <w:pPr>
        <w:spacing w:after="0" w:line="234"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assignments of Revolving Loans and Revolving Commitments only, each Issuing Bank and the Swingline Lender.</w:t>
      </w:r>
    </w:p>
    <w:p>
      <w:pPr>
        <w:spacing w:after="0" w:line="222" w:lineRule="exact"/>
        <w:rPr>
          <w:sz w:val="20"/>
          <w:szCs w:val="20"/>
          <w:color w:val="auto"/>
        </w:rPr>
      </w:pPr>
    </w:p>
    <w:p>
      <w:pPr>
        <w:ind w:left="1760" w:hanging="584"/>
        <w:spacing w:after="0"/>
        <w:tabs>
          <w:tab w:leader="none" w:pos="1760" w:val="left"/>
        </w:tabs>
        <w:numPr>
          <w:ilvl w:val="0"/>
          <w:numId w:val="1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Assignments shall be subject to the following additional conditions:</w:t>
      </w:r>
    </w:p>
    <w:p>
      <w:pPr>
        <w:spacing w:after="0" w:line="235" w:lineRule="exact"/>
        <w:rPr>
          <w:sz w:val="20"/>
          <w:szCs w:val="20"/>
          <w:color w:val="auto"/>
        </w:rPr>
      </w:pPr>
    </w:p>
    <w:p>
      <w:pPr>
        <w:jc w:val="both"/>
        <w:ind w:firstLine="1176"/>
        <w:spacing w:after="0" w:line="256" w:lineRule="auto"/>
        <w:tabs>
          <w:tab w:leader="none" w:pos="1759"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in the case of an assignment to a Lender, an Approved Fund,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Delayed Draw Term Loan Commitments or Delayed Draw Term Loans)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Company shall be required if an Event of Default under paragraphs (a), (b), (h) or (i) under Article VII has occurred and is continuing;</w:t>
      </w:r>
    </w:p>
    <w:p>
      <w:pPr>
        <w:spacing w:after="0" w:line="184" w:lineRule="exact"/>
        <w:rPr>
          <w:rFonts w:ascii="Times New Roman" w:cs="Times New Roman" w:eastAsia="Times New Roman" w:hAnsi="Times New Roman"/>
          <w:sz w:val="18"/>
          <w:szCs w:val="18"/>
          <w:color w:val="010000"/>
        </w:rPr>
      </w:pPr>
    </w:p>
    <w:p>
      <w:pPr>
        <w:jc w:val="both"/>
        <w:ind w:firstLine="1176"/>
        <w:spacing w:after="0" w:line="271" w:lineRule="auto"/>
        <w:tabs>
          <w:tab w:leader="none" w:pos="1761"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70" w:lineRule="exact"/>
        <w:rPr>
          <w:rFonts w:ascii="Times New Roman" w:cs="Times New Roman" w:eastAsia="Times New Roman" w:hAnsi="Times New Roman"/>
          <w:sz w:val="18"/>
          <w:szCs w:val="18"/>
          <w:color w:val="010000"/>
        </w:rPr>
      </w:pPr>
    </w:p>
    <w:p>
      <w:pPr>
        <w:ind w:firstLine="1176"/>
        <w:spacing w:after="0" w:line="287" w:lineRule="auto"/>
        <w:tabs>
          <w:tab w:leader="none" w:pos="1761"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such fee to be paid by either the assigning Lender or the assignee Lender or shared between such Lenders; and</w:t>
      </w:r>
    </w:p>
    <w:p>
      <w:pPr>
        <w:spacing w:after="0" w:line="155" w:lineRule="exact"/>
        <w:rPr>
          <w:rFonts w:ascii="Times New Roman" w:cs="Times New Roman" w:eastAsia="Times New Roman" w:hAnsi="Times New Roman"/>
          <w:sz w:val="18"/>
          <w:szCs w:val="18"/>
          <w:color w:val="010000"/>
        </w:rPr>
      </w:pPr>
    </w:p>
    <w:p>
      <w:pPr>
        <w:jc w:val="both"/>
        <w:ind w:firstLine="1176"/>
        <w:spacing w:after="0" w:line="260" w:lineRule="auto"/>
        <w:tabs>
          <w:tab w:leader="none" w:pos="1759"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assignee, if it shall not be a Lender, shall deliver to the Administrative Agent (i) any tax documentation required pursuant to Section 2.17(f) and (ii)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ectPr>
          <w:pgSz w:w="11900" w:h="16838" w:orient="portrait"/>
          <w:cols w:equalWidth="0" w:num="1">
            <w:col w:w="11240"/>
          </w:cols>
          <w:pgMar w:left="320" w:top="634" w:right="339" w:bottom="1440" w:gutter="0" w:footer="0" w:header="0"/>
        </w:sectPr>
      </w:pPr>
    </w:p>
    <w:bookmarkStart w:id="177" w:name="page178"/>
    <w:bookmarkEnd w:id="177"/>
    <w:p>
      <w:pPr>
        <w:jc w:val="both"/>
        <w:ind w:right="20" w:firstLine="1176"/>
        <w:spacing w:after="0" w:line="254" w:lineRule="auto"/>
        <w:tabs>
          <w:tab w:leader="none" w:pos="1766" w:val="left"/>
        </w:tabs>
        <w:numPr>
          <w:ilvl w:val="0"/>
          <w:numId w:val="1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8" w:lineRule="exact"/>
        <w:rPr>
          <w:rFonts w:ascii="Times New Roman" w:cs="Times New Roman" w:eastAsia="Times New Roman" w:hAnsi="Times New Roman"/>
          <w:sz w:val="18"/>
          <w:szCs w:val="18"/>
          <w:color w:val="010000"/>
        </w:rPr>
      </w:pPr>
    </w:p>
    <w:p>
      <w:pPr>
        <w:jc w:val="both"/>
        <w:ind w:right="20" w:firstLine="1176"/>
        <w:spacing w:after="0" w:line="256" w:lineRule="auto"/>
        <w:tabs>
          <w:tab w:leader="none" w:pos="1757" w:val="left"/>
        </w:tabs>
        <w:numPr>
          <w:ilvl w:val="0"/>
          <w:numId w:val="1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acting for this purpose as an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w:t>
      </w:r>
    </w:p>
    <w:p>
      <w:pPr>
        <w:spacing w:after="0" w:line="197" w:lineRule="exact"/>
        <w:rPr>
          <w:sz w:val="20"/>
          <w:szCs w:val="20"/>
          <w:color w:val="auto"/>
        </w:rPr>
      </w:pPr>
    </w:p>
    <w:p>
      <w:pPr>
        <w:ind w:right="160" w:firstLine="1178"/>
        <w:spacing w:after="0" w:line="273" w:lineRule="auto"/>
        <w:rPr>
          <w:sz w:val="20"/>
          <w:szCs w:val="20"/>
          <w:color w:val="auto"/>
        </w:rPr>
      </w:pPr>
      <w:r>
        <w:rPr>
          <w:rFonts w:ascii="Times New Roman" w:cs="Times New Roman" w:eastAsia="Times New Roman" w:hAnsi="Times New Roman"/>
          <w:sz w:val="18"/>
          <w:szCs w:val="18"/>
          <w:color w:val="auto"/>
        </w:rPr>
        <w:t>The Register shall be available for inspection by the Company, any Issuing Bank and any Lender, at any reasonable time and from time to time upon reasonable prior notice.</w:t>
      </w:r>
    </w:p>
    <w:p>
      <w:pPr>
        <w:spacing w:after="0" w:line="179" w:lineRule="exact"/>
        <w:rPr>
          <w:sz w:val="20"/>
          <w:szCs w:val="20"/>
          <w:color w:val="auto"/>
        </w:rPr>
      </w:pPr>
    </w:p>
    <w:p>
      <w:pPr>
        <w:jc w:val="both"/>
        <w:ind w:right="20" w:firstLine="1176"/>
        <w:spacing w:after="0" w:line="254" w:lineRule="auto"/>
        <w:tabs>
          <w:tab w:leader="none" w:pos="1756" w:val="left"/>
        </w:tabs>
        <w:numPr>
          <w:ilvl w:val="0"/>
          <w:numId w:val="1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6" w:lineRule="exact"/>
        <w:rPr>
          <w:sz w:val="20"/>
          <w:szCs w:val="20"/>
          <w:color w:val="auto"/>
        </w:rPr>
      </w:pPr>
    </w:p>
    <w:p>
      <w:pPr>
        <w:jc w:val="both"/>
        <w:ind w:firstLine="1176"/>
        <w:spacing w:after="0" w:line="253" w:lineRule="auto"/>
        <w:tabs>
          <w:tab w:leader="none" w:pos="1758"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may, without the consent of any Borrower, the Administrative Agent, the Issuing Banks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w:t>
      </w:r>
    </w:p>
    <w:p>
      <w:pPr>
        <w:sectPr>
          <w:pgSz w:w="11900" w:h="16838" w:orient="portrait"/>
          <w:cols w:equalWidth="0" w:num="1">
            <w:col w:w="11260"/>
          </w:cols>
          <w:pgMar w:left="320" w:top="855" w:right="319" w:bottom="1440" w:gutter="0" w:footer="0" w:header="0"/>
        </w:sectPr>
      </w:pPr>
    </w:p>
    <w:bookmarkStart w:id="178" w:name="page179"/>
    <w:bookmarkEnd w:id="178"/>
    <w:p>
      <w:pPr>
        <w:jc w:val="both"/>
        <w:spacing w:after="0" w:line="253" w:lineRule="auto"/>
        <w:rPr>
          <w:sz w:val="20"/>
          <w:szCs w:val="20"/>
          <w:color w:val="auto"/>
        </w:rPr>
      </w:pPr>
      <w:r>
        <w:rPr>
          <w:rFonts w:ascii="Times New Roman" w:cs="Times New Roman" w:eastAsia="Times New Roman" w:hAnsi="Times New Roman"/>
          <w:sz w:val="18"/>
          <w:szCs w:val="18"/>
          <w:color w:val="auto"/>
        </w:rPr>
        <w:t>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jc w:val="both"/>
        <w:ind w:firstLine="1176"/>
        <w:spacing w:after="0" w:line="257" w:lineRule="auto"/>
        <w:tabs>
          <w:tab w:leader="none" w:pos="1756" w:val="left"/>
        </w:tabs>
        <w:numPr>
          <w:ilvl w:val="0"/>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93"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All covenants, agreements, representations and warranties made by the Borrowers in the Loan Documents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8" w:lineRule="exact"/>
        <w:rPr>
          <w:sz w:val="20"/>
          <w:szCs w:val="20"/>
          <w:color w:val="auto"/>
        </w:rPr>
      </w:pPr>
    </w:p>
    <w:p>
      <w:pPr>
        <w:jc w:val="both"/>
        <w:ind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9.06. </w:t>
      </w:r>
      <w:r>
        <w:rPr>
          <w:rFonts w:ascii="Times New Roman" w:cs="Times New Roman" w:eastAsia="Times New Roman" w:hAnsi="Times New Roman"/>
          <w:sz w:val="18"/>
          <w:szCs w:val="18"/>
          <w:u w:val="single" w:color="auto"/>
          <w:color w:val="000000"/>
        </w:rPr>
        <w:t>Counterparts; Integration; Effectiveness; Electronic Execution</w:t>
      </w:r>
      <w:r>
        <w:rPr>
          <w:rFonts w:ascii="Times New Roman" w:cs="Times New Roman" w:eastAsia="Times New Roman" w:hAnsi="Times New Roman"/>
          <w:sz w:val="18"/>
          <w:szCs w:val="18"/>
          <w:color w:val="000000"/>
        </w:rPr>
        <w:t>. This Agreement may be executed in counterparts (and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This Agreement, any Loan Document and any other Communication, including Communications required to be in writing, may be in the form of an Electronic Record and may be executed using Electronic Signatures. Each of the Borrowers and each of the Administrative Agent, the Sustainability Agent and the Lender Parties agrees that any Electronic Signature on or associated with any Communication shall be valid</w:t>
      </w:r>
    </w:p>
    <w:p>
      <w:pPr>
        <w:sectPr>
          <w:pgSz w:w="11900" w:h="16838" w:orient="portrait"/>
          <w:cols w:equalWidth="0" w:num="1">
            <w:col w:w="11240"/>
          </w:cols>
          <w:pgMar w:left="320" w:top="634" w:right="339" w:bottom="1440" w:gutter="0" w:footer="0" w:header="0"/>
        </w:sectPr>
      </w:pPr>
    </w:p>
    <w:bookmarkStart w:id="179" w:name="page180"/>
    <w:bookmarkEnd w:id="179"/>
    <w:p>
      <w:pPr>
        <w:jc w:val="both"/>
        <w:spacing w:after="0" w:line="252" w:lineRule="auto"/>
        <w:rPr>
          <w:sz w:val="20"/>
          <w:szCs w:val="20"/>
          <w:color w:val="auto"/>
        </w:rPr>
      </w:pPr>
      <w:r>
        <w:rPr>
          <w:rFonts w:ascii="Times New Roman" w:cs="Times New Roman" w:eastAsia="Times New Roman" w:hAnsi="Times New Roman"/>
          <w:sz w:val="18"/>
          <w:szCs w:val="18"/>
          <w:color w:val="auto"/>
        </w:rPr>
        <w:t>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the Sustainability Agent and each of the Lender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the Sustainability Agent, L/C Issuer and/or Swingline Lender has agreed to accept such Electronic Signature, the Administrative Agent and each of the Lender Parties shall be entitled to rely on any such Electronic Signature purportedly given by or on behalf of any Borrower and/or any Lender Party without further verification and (b) upon the request of the Administrative Agent, the Sustainability Agent or any Lender Party, any Electronic Signature shall be promptly followed by such manually executed counterpart. For purposes hereof, “</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95" w:lineRule="exact"/>
        <w:rPr>
          <w:sz w:val="20"/>
          <w:szCs w:val="20"/>
          <w:color w:val="auto"/>
        </w:rPr>
      </w:pPr>
    </w:p>
    <w:p>
      <w:pPr>
        <w:jc w:val="both"/>
        <w:ind w:right="20" w:firstLine="1178"/>
        <w:spacing w:after="0" w:line="254" w:lineRule="auto"/>
        <w:rPr>
          <w:sz w:val="20"/>
          <w:szCs w:val="20"/>
          <w:color w:val="auto"/>
        </w:rPr>
      </w:pPr>
      <w:r>
        <w:rPr>
          <w:rFonts w:ascii="Times New Roman" w:cs="Times New Roman" w:eastAsia="Times New Roman" w:hAnsi="Times New Roman"/>
          <w:sz w:val="18"/>
          <w:szCs w:val="18"/>
          <w:color w:val="auto"/>
        </w:rPr>
        <w:t>Neither the Administrative Agent, the Sustainability Agent, the Issuing Banks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the Sustainability Agent’s, each Issuing Bank’s or Swingline Lender’s reliance on any Electronic Signature transmitted by telecopy, emailed .pdf or any other electronic means). The Administrative Agent, the Sustainability Agent, Issuing Banks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jc w:val="both"/>
        <w:ind w:right="20" w:firstLine="1178"/>
        <w:spacing w:after="0" w:line="256" w:lineRule="auto"/>
        <w:rPr>
          <w:sz w:val="20"/>
          <w:szCs w:val="20"/>
          <w:color w:val="auto"/>
        </w:rPr>
      </w:pPr>
      <w:r>
        <w:rPr>
          <w:rFonts w:ascii="Times New Roman" w:cs="Times New Roman" w:eastAsia="Times New Roman" w:hAnsi="Times New Roman"/>
          <w:sz w:val="18"/>
          <w:szCs w:val="18"/>
          <w:color w:val="auto"/>
        </w:rPr>
        <w:t>Each of the Borrowers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the Sustainability Agent, each Lender Party and each Related Party for any liabilities arising solely from the Administrative Agent’s, the Sustainability Agent’s and/or any Lender Party’s reliance on or use of Electronic Signatures, including any liabilities arising as a result of the failure of any Borrower to use any available security measures in connection with the execution, delivery or transmission of any Electronic Signature.</w:t>
      </w:r>
    </w:p>
    <w:p>
      <w:pPr>
        <w:spacing w:after="0" w:line="185" w:lineRule="exact"/>
        <w:rPr>
          <w:sz w:val="20"/>
          <w:szCs w:val="20"/>
          <w:color w:val="auto"/>
        </w:rPr>
      </w:pPr>
    </w:p>
    <w:p>
      <w:pPr>
        <w:jc w:val="both"/>
        <w:ind w:right="20" w:firstLine="1178"/>
        <w:spacing w:after="0" w:line="261" w:lineRule="auto"/>
        <w:rPr>
          <w:sz w:val="20"/>
          <w:szCs w:val="20"/>
          <w:color w:val="auto"/>
        </w:rPr>
      </w:pPr>
      <w:r>
        <w:rPr>
          <w:rFonts w:ascii="Times New Roman" w:cs="Times New Roman" w:eastAsia="Times New Roman" w:hAnsi="Times New Roman"/>
          <w:sz w:val="18"/>
          <w:szCs w:val="18"/>
          <w:color w:val="010000"/>
        </w:rPr>
        <w:t xml:space="preserve">SECTION 9.07.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any Loan Document held to be invalid, illegal or unenforceable in any jurisdiction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ectPr>
          <w:pgSz w:w="11900" w:h="16838" w:orient="portrait"/>
          <w:cols w:equalWidth="0" w:num="1">
            <w:col w:w="11260"/>
          </w:cols>
          <w:pgMar w:left="320" w:top="634" w:right="319" w:bottom="1440" w:gutter="0" w:footer="0" w:header="0"/>
        </w:sectPr>
      </w:pPr>
    </w:p>
    <w:bookmarkStart w:id="180" w:name="page181"/>
    <w:bookmarkEnd w:id="180"/>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9.08. </w:t>
      </w:r>
      <w:r>
        <w:rPr>
          <w:rFonts w:ascii="Times New Roman" w:cs="Times New Roman" w:eastAsia="Times New Roman" w:hAnsi="Times New Roman"/>
          <w:sz w:val="18"/>
          <w:szCs w:val="18"/>
          <w:u w:val="single" w:color="auto"/>
          <w:color w:val="000000"/>
        </w:rPr>
        <w:t>Right of Setoff</w:t>
      </w:r>
      <w:r>
        <w:rPr>
          <w:rFonts w:ascii="Times New Roman" w:cs="Times New Roman" w:eastAsia="Times New Roman" w:hAnsi="Times New Roman"/>
          <w:sz w:val="18"/>
          <w:szCs w:val="18"/>
          <w:color w:val="000000"/>
        </w:rPr>
        <w:t>. If an Event of Default shall have occurred and be continuing, each Lender and each of its Affiliates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of the Obligations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w:t>
      </w:r>
    </w:p>
    <w:p>
      <w:pPr>
        <w:spacing w:after="0" w:line="197" w:lineRule="exact"/>
        <w:rPr>
          <w:sz w:val="20"/>
          <w:szCs w:val="20"/>
          <w:color w:val="auto"/>
        </w:rPr>
      </w:pPr>
    </w:p>
    <w:p>
      <w:pPr>
        <w:jc w:val="both"/>
        <w:ind w:firstLine="1178"/>
        <w:spacing w:after="0" w:line="273" w:lineRule="auto"/>
        <w:rPr>
          <w:sz w:val="20"/>
          <w:szCs w:val="20"/>
          <w:color w:val="auto"/>
        </w:rPr>
      </w:pPr>
      <w:r>
        <w:rPr>
          <w:rFonts w:ascii="Times New Roman" w:cs="Times New Roman" w:eastAsia="Times New Roman" w:hAnsi="Times New Roman"/>
          <w:sz w:val="18"/>
          <w:szCs w:val="18"/>
          <w:color w:val="010000"/>
        </w:rPr>
        <w:t xml:space="preserve">SECTION 9.09. </w:t>
      </w:r>
      <w:r>
        <w:rPr>
          <w:rFonts w:ascii="Times New Roman" w:cs="Times New Roman" w:eastAsia="Times New Roman" w:hAnsi="Times New Roman"/>
          <w:sz w:val="18"/>
          <w:szCs w:val="18"/>
          <w:u w:val="single" w:color="auto"/>
          <w:color w:val="000000"/>
        </w:rPr>
        <w:t>Governing Law; Jurisdiction; Consent to Service of Process</w:t>
      </w:r>
      <w:r>
        <w:rPr>
          <w:rFonts w:ascii="Times New Roman" w:cs="Times New Roman" w:eastAsia="Times New Roman" w:hAnsi="Times New Roman"/>
          <w:sz w:val="18"/>
          <w:szCs w:val="18"/>
          <w:color w:val="000000"/>
        </w:rPr>
        <w:t>. (a) This Agreement shall be construed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governed by the law of the State of New York.</w:t>
      </w:r>
    </w:p>
    <w:p>
      <w:pPr>
        <w:spacing w:after="0" w:line="179" w:lineRule="exact"/>
        <w:rPr>
          <w:sz w:val="20"/>
          <w:szCs w:val="20"/>
          <w:color w:val="auto"/>
        </w:rPr>
      </w:pPr>
    </w:p>
    <w:p>
      <w:pPr>
        <w:jc w:val="both"/>
        <w:ind w:firstLine="1176"/>
        <w:spacing w:after="0" w:line="254" w:lineRule="auto"/>
        <w:tabs>
          <w:tab w:leader="none" w:pos="1756"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Borough of Manhattan, and of the United States District Court for the Southern District of New York sitting in New York County,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any party hereto may otherwise have to bring any action or proceeding relating to this Agreement or any other Loan Document against any other party hereto or its properties in the courts of any jurisdiction.</w:t>
      </w:r>
    </w:p>
    <w:p>
      <w:pPr>
        <w:spacing w:after="0" w:line="188" w:lineRule="exact"/>
        <w:rPr>
          <w:rFonts w:ascii="Times New Roman" w:cs="Times New Roman" w:eastAsia="Times New Roman" w:hAnsi="Times New Roman"/>
          <w:sz w:val="18"/>
          <w:szCs w:val="18"/>
          <w:color w:val="010000"/>
        </w:rPr>
      </w:pPr>
    </w:p>
    <w:p>
      <w:pPr>
        <w:jc w:val="both"/>
        <w:ind w:firstLine="1176"/>
        <w:spacing w:after="0" w:line="261" w:lineRule="auto"/>
        <w:tabs>
          <w:tab w:leader="none" w:pos="1758"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91" w:lineRule="exact"/>
        <w:rPr>
          <w:rFonts w:ascii="Times New Roman" w:cs="Times New Roman" w:eastAsia="Times New Roman" w:hAnsi="Times New Roman"/>
          <w:sz w:val="18"/>
          <w:szCs w:val="18"/>
          <w:color w:val="010000"/>
        </w:rPr>
      </w:pPr>
    </w:p>
    <w:p>
      <w:pPr>
        <w:jc w:val="both"/>
        <w:ind w:firstLine="1176"/>
        <w:spacing w:after="0" w:line="251" w:lineRule="auto"/>
        <w:tabs>
          <w:tab w:leader="none" w:pos="1756"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2.23.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w:t>
      </w:r>
    </w:p>
    <w:p>
      <w:pPr>
        <w:sectPr>
          <w:pgSz w:w="11900" w:h="16838" w:orient="portrait"/>
          <w:cols w:equalWidth="0" w:num="1">
            <w:col w:w="11240"/>
          </w:cols>
          <w:pgMar w:left="320" w:top="634" w:right="339" w:bottom="1440" w:gutter="0" w:footer="0" w:header="0"/>
        </w:sectPr>
      </w:pPr>
    </w:p>
    <w:bookmarkStart w:id="181" w:name="page182"/>
    <w:bookmarkEnd w:id="181"/>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97" w:lineRule="exact"/>
        <w:rPr>
          <w:sz w:val="20"/>
          <w:szCs w:val="20"/>
          <w:color w:val="auto"/>
        </w:rPr>
      </w:pPr>
    </w:p>
    <w:p>
      <w:pPr>
        <w:jc w:val="both"/>
        <w:ind w:left="2" w:right="20" w:firstLine="1178"/>
        <w:spacing w:after="0" w:line="254" w:lineRule="auto"/>
        <w:rPr>
          <w:sz w:val="20"/>
          <w:szCs w:val="20"/>
          <w:color w:val="auto"/>
        </w:rPr>
      </w:pPr>
      <w:r>
        <w:rPr>
          <w:rFonts w:ascii="Times New Roman" w:cs="Times New Roman" w:eastAsia="Times New Roman" w:hAnsi="Times New Roman"/>
          <w:sz w:val="18"/>
          <w:szCs w:val="18"/>
          <w:color w:val="010000"/>
        </w:rPr>
        <w:t xml:space="preserve">SECTION 9.10.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HERETO HEREBY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left="2" w:right="20" w:hanging="2"/>
        <w:spacing w:after="0" w:line="248" w:lineRule="auto"/>
        <w:tabs>
          <w:tab w:leader="none" w:pos="34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Times New Roman" w:cs="Times New Roman" w:eastAsia="Times New Roman" w:hAnsi="Times New Roman"/>
          <w:sz w:val="18"/>
          <w:szCs w:val="18"/>
          <w:color w:val="auto"/>
        </w:rPr>
      </w:pPr>
    </w:p>
    <w:p>
      <w:pPr>
        <w:ind w:left="2" w:right="20" w:firstLine="1176"/>
        <w:spacing w:after="0" w:line="272" w:lineRule="auto"/>
        <w:tabs>
          <w:tab w:leader="none" w:pos="152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w:t>
      </w:r>
    </w:p>
    <w:p>
      <w:pPr>
        <w:spacing w:after="0" w:line="168" w:lineRule="exact"/>
        <w:rPr>
          <w:sz w:val="20"/>
          <w:szCs w:val="20"/>
          <w:color w:val="auto"/>
        </w:rPr>
      </w:pPr>
    </w:p>
    <w:p>
      <w:pPr>
        <w:jc w:val="both"/>
        <w:ind w:left="2" w:right="20"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9.11.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Article and Section headings and the Table of Contents used herein are for convenience of reference only,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part of this Agreement and shall not affect the construction of, or be taken into consideration in interpreting, this Agreement.</w:t>
      </w:r>
    </w:p>
    <w:p>
      <w:pPr>
        <w:spacing w:after="0" w:line="155" w:lineRule="exact"/>
        <w:rPr>
          <w:sz w:val="20"/>
          <w:szCs w:val="20"/>
          <w:color w:val="auto"/>
        </w:rPr>
      </w:pPr>
    </w:p>
    <w:p>
      <w:pPr>
        <w:jc w:val="both"/>
        <w:ind w:left="2" w:firstLine="1178"/>
        <w:spacing w:after="0" w:line="252" w:lineRule="auto"/>
        <w:rPr>
          <w:sz w:val="20"/>
          <w:szCs w:val="20"/>
          <w:color w:val="auto"/>
        </w:rPr>
      </w:pPr>
      <w:r>
        <w:rPr>
          <w:rFonts w:ascii="Times New Roman" w:cs="Times New Roman" w:eastAsia="Times New Roman" w:hAnsi="Times New Roman"/>
          <w:sz w:val="18"/>
          <w:szCs w:val="18"/>
          <w:color w:val="010000"/>
        </w:rPr>
        <w:t xml:space="preserve">SECTION 9.12.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 Each of the Administrative Agent, the Issuing Banks and the Lenders agrees to maintain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confidentiality of the Information (as defined below), except that Information may be disclosed (a) pursuant to the order of any court or administrative agency or in any pending legal or administrative proceeding, or otherwise as required by applicable law or compulsory legal process (in which case (except with respect to any audit or examination conducted by bank accountants or any self-regulatory or governmental or regulatory authority exercising examination or regulatory authority) each Credit Party agrees to inform you promptly thereof prior to such disclosure to the extent not prohibited by law, rule or regulation), (b) upon the request or demand of any regulatory authority having jurisdiction over a Credit Party or any of its Affiliates, (c) to the extent that such Information becomes publicly available other than by reason of disclosure in violation of this Agreement by such Credit Party, (d) to each Credit Party’s Affiliates and such Credit Party’s and such Affiliates’ directors, officers, employees, legal counsel, independent auditors and other experts or agents who need to know such information in connection with the Transactions and are informed of the confidential nature of such information, (e) for purposes of establishing a “due diligence” defense, (f) to the extent that such Information is received by a Credit Party from a third party that is not to such Credit Party’s knowledge subject to confidentiality obligations to the Company, (g) to the extent that such Information is or was independently developed by such Credit Party, (h) to actual or prospective, direct or indirect counterparties (or their advisors) to any Swap Agreement or other derivative transaction relating to the Company or any of their respective subsidiaries or any of their respective obligations; provided that the disclosure of any such Information to any actual or prospective, direct or indirect counterparty (or their advisors) to any such Swap Agreement or other derivative transaction shall be made subject to the acknowledgment and acceptance by such counterparty (and their advisors, as applicable) that such Information is being disseminated on a confidential basis (on substantially the terms set forth in this paragraph or as is otherwise reasonably acceptable to the Company and such Credit Party) in accordance with customary market standards for dissemination of such type of information, (i) to potential Lenders, participants or assignees who agree to be bound by the terms of this paragraph (or language substantially similar to this paragraph or as otherwise reasonably acceptable to the Company and such Credit Party, including as may be agreed in any confidential information memorandum or other marketing material) or (j) to rating agencies in connection with obtaining ratings for the Company or any of its Affiliates or any of their debt. For the purposes of this Section,</w:t>
      </w:r>
    </w:p>
    <w:p>
      <w:pPr>
        <w:sectPr>
          <w:pgSz w:w="11900" w:h="16838" w:orient="portrait"/>
          <w:cols w:equalWidth="0" w:num="1">
            <w:col w:w="11262"/>
          </w:cols>
          <w:pgMar w:left="318" w:top="634" w:right="319" w:bottom="1440" w:gutter="0" w:footer="0" w:header="0"/>
        </w:sectPr>
      </w:pPr>
    </w:p>
    <w:bookmarkStart w:id="182" w:name="page183"/>
    <w:bookmarkEnd w:id="182"/>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BORROWERS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7" w:lineRule="exact"/>
        <w:rPr>
          <w:sz w:val="20"/>
          <w:szCs w:val="20"/>
          <w:color w:val="auto"/>
        </w:rPr>
      </w:pPr>
    </w:p>
    <w:p>
      <w:pPr>
        <w:jc w:val="both"/>
        <w:ind w:firstLine="1178"/>
        <w:spacing w:after="0" w:line="276" w:lineRule="auto"/>
        <w:rPr>
          <w:sz w:val="20"/>
          <w:szCs w:val="20"/>
          <w:color w:val="auto"/>
        </w:rPr>
      </w:pPr>
      <w:r>
        <w:rPr>
          <w:rFonts w:ascii="Times New Roman" w:cs="Times New Roman" w:eastAsia="Times New Roman" w:hAnsi="Times New Roman"/>
          <w:sz w:val="17"/>
          <w:szCs w:val="17"/>
          <w:color w:val="010000"/>
        </w:rPr>
        <w:t xml:space="preserve">SECTION 9.13. </w:t>
      </w:r>
      <w:r>
        <w:rPr>
          <w:rFonts w:ascii="Times New Roman" w:cs="Times New Roman" w:eastAsia="Times New Roman" w:hAnsi="Times New Roman"/>
          <w:sz w:val="17"/>
          <w:szCs w:val="17"/>
          <w:u w:val="single" w:color="auto"/>
          <w:color w:val="000000"/>
        </w:rPr>
        <w:t>USA PATRIOT Act</w:t>
      </w:r>
      <w:r>
        <w:rPr>
          <w:rFonts w:ascii="Times New Roman" w:cs="Times New Roman" w:eastAsia="Times New Roman" w:hAnsi="Times New Roman"/>
          <w:sz w:val="17"/>
          <w:szCs w:val="17"/>
          <w:color w:val="000000"/>
        </w:rPr>
        <w:t>. Each Lender that is subject to the requirements of the USA PATRIOT Act (Title III of Pub. L. 107-56 (signed into law October 26, 2001)) (the “</w:t>
      </w:r>
      <w:r>
        <w:rPr>
          <w:rFonts w:ascii="Times New Roman" w:cs="Times New Roman" w:eastAsia="Times New Roman" w:hAnsi="Times New Roman"/>
          <w:sz w:val="17"/>
          <w:szCs w:val="17"/>
          <w:u w:val="single" w:color="auto"/>
          <w:color w:val="000000"/>
        </w:rPr>
        <w:t>Act</w:t>
      </w:r>
      <w:r>
        <w:rPr>
          <w:rFonts w:ascii="Times New Roman" w:cs="Times New Roman" w:eastAsia="Times New Roman" w:hAnsi="Times New Roman"/>
          <w:sz w:val="17"/>
          <w:szCs w:val="17"/>
          <w:color w:val="000000"/>
        </w:rPr>
        <w:t>”) hereby notifies each Borrower that pursuant to the requirements of the Act and the Beneficial Ownership Regulation, it is required to obtain, verify and record information that identifies such Borrower, which information includes the name and address of such Borrower and other information that will allow such Lender to identify such Borrower in accordance with the Act and the Beneficial Ownership Regulation.</w:t>
      </w:r>
    </w:p>
    <w:p>
      <w:pPr>
        <w:spacing w:after="0" w:line="181" w:lineRule="exact"/>
        <w:rPr>
          <w:sz w:val="20"/>
          <w:szCs w:val="20"/>
          <w:color w:val="auto"/>
        </w:rPr>
      </w:pPr>
    </w:p>
    <w:p>
      <w:pPr>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9.14. </w:t>
      </w:r>
      <w:r>
        <w:rPr>
          <w:rFonts w:ascii="Times New Roman" w:cs="Times New Roman" w:eastAsia="Times New Roman" w:hAnsi="Times New Roman"/>
          <w:sz w:val="18"/>
          <w:szCs w:val="18"/>
          <w:u w:val="single" w:color="auto"/>
          <w:color w:val="000000"/>
        </w:rPr>
        <w:t>Recovery of Erroneous Payments</w:t>
      </w:r>
      <w:r>
        <w:rPr>
          <w:rFonts w:ascii="Times New Roman" w:cs="Times New Roman" w:eastAsia="Times New Roman" w:hAnsi="Times New Roman"/>
          <w:sz w:val="18"/>
          <w:szCs w:val="18"/>
          <w:color w:val="000000"/>
        </w:rPr>
        <w:t>. Recovery of Erroneous Payments. Without limitation of any other provision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89" w:lineRule="exact"/>
        <w:rPr>
          <w:sz w:val="20"/>
          <w:szCs w:val="20"/>
          <w:color w:val="auto"/>
        </w:rPr>
      </w:pPr>
    </w:p>
    <w:p>
      <w:pPr>
        <w:ind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9.15. </w:t>
      </w:r>
      <w:r>
        <w:rPr>
          <w:rFonts w:ascii="Times New Roman" w:cs="Times New Roman" w:eastAsia="Times New Roman" w:hAnsi="Times New Roman"/>
          <w:sz w:val="18"/>
          <w:szCs w:val="18"/>
          <w:u w:val="single" w:color="auto"/>
          <w:color w:val="000000"/>
        </w:rPr>
        <w:t>Interest Rate Limitation</w:t>
      </w:r>
      <w:r>
        <w:rPr>
          <w:rFonts w:ascii="Times New Roman" w:cs="Times New Roman" w:eastAsia="Times New Roman" w:hAnsi="Times New Roman"/>
          <w:sz w:val="18"/>
          <w:szCs w:val="18"/>
          <w:color w:val="000000"/>
        </w:rPr>
        <w:t>. Notwithstanding anything herein to the contrary, if at any time the interest rate applicable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together with all fees,</w:t>
      </w:r>
    </w:p>
    <w:p>
      <w:pPr>
        <w:sectPr>
          <w:pgSz w:w="11900" w:h="16838" w:orient="portrait"/>
          <w:cols w:equalWidth="0" w:num="1">
            <w:col w:w="11240"/>
          </w:cols>
          <w:pgMar w:left="320" w:top="634" w:right="339" w:bottom="1440" w:gutter="0" w:footer="0" w:header="0"/>
        </w:sectPr>
      </w:pPr>
    </w:p>
    <w:bookmarkStart w:id="183" w:name="page184"/>
    <w:bookmarkEnd w:id="183"/>
    <w:p>
      <w:pPr>
        <w:jc w:val="both"/>
        <w:spacing w:after="0" w:line="256" w:lineRule="auto"/>
        <w:rPr>
          <w:sz w:val="20"/>
          <w:szCs w:val="20"/>
          <w:color w:val="auto"/>
        </w:rPr>
      </w:pPr>
      <w:r>
        <w:rPr>
          <w:rFonts w:ascii="Times New Roman" w:cs="Times New Roman" w:eastAsia="Times New Roman" w:hAnsi="Times New Roman"/>
          <w:sz w:val="18"/>
          <w:szCs w:val="18"/>
          <w:color w:val="auto"/>
        </w:rPr>
        <w:t>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8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9.16. </w:t>
      </w:r>
      <w:r>
        <w:rPr>
          <w:rFonts w:ascii="Times New Roman" w:cs="Times New Roman" w:eastAsia="Times New Roman" w:hAnsi="Times New Roman"/>
          <w:sz w:val="18"/>
          <w:szCs w:val="18"/>
          <w:u w:val="single" w:color="auto"/>
          <w:color w:val="000000"/>
        </w:rPr>
        <w:t>No Advisory or Fiduciary Responsibility</w:t>
      </w:r>
      <w:r>
        <w:rPr>
          <w:rFonts w:ascii="Times New Roman" w:cs="Times New Roman" w:eastAsia="Times New Roman" w:hAnsi="Times New Roman"/>
          <w:sz w:val="18"/>
          <w:szCs w:val="18"/>
          <w:color w:val="000000"/>
        </w:rPr>
        <w:t>. In connection with all aspects of each transaction contemplated 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in connection with any amendment, waiver or other modification hereof or of any other Loan Document), each Borrower acknowledges and agrees that: (i) (A) the arranging and other services regarding this Agreement provided by the Lenders are arm’s-length commercial transactions between such Borrower and its Affiliates, on the one hand, and the Lenders and their Affiliates,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such Borrower or any of its Affiliates, or any other Person and (B) no Lender or any of its Affiliates has any obligation to such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such Borrower and its Affiliates, and no Lender or any of its Affiliates has any obligation to disclose any of such interests to such Borrower or its Affiliates. To the fullest extent permitted by law, each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97"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9.17. </w:t>
      </w:r>
      <w:r>
        <w:rPr>
          <w:rFonts w:ascii="Times New Roman" w:cs="Times New Roman" w:eastAsia="Times New Roman" w:hAnsi="Times New Roman"/>
          <w:sz w:val="18"/>
          <w:szCs w:val="18"/>
          <w:u w:val="single" w:color="auto"/>
          <w:color w:val="000000"/>
        </w:rPr>
        <w:t>Acknowledgement and Consent to Bail-In of Affected Financial Institutions</w:t>
      </w:r>
      <w:r>
        <w:rPr>
          <w:rFonts w:ascii="Times New Roman" w:cs="Times New Roman" w:eastAsia="Times New Roman" w:hAnsi="Times New Roman"/>
          <w:sz w:val="18"/>
          <w:szCs w:val="18"/>
          <w:color w:val="000000"/>
        </w:rPr>
        <w:t>. Solely to the extent any Lender or Issuing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Bank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7" w:lineRule="exact"/>
        <w:rPr>
          <w:sz w:val="20"/>
          <w:szCs w:val="20"/>
          <w:color w:val="auto"/>
        </w:rPr>
      </w:pPr>
    </w:p>
    <w:p>
      <w:pPr>
        <w:ind w:firstLine="1176"/>
        <w:spacing w:after="0" w:line="273" w:lineRule="auto"/>
        <w:tabs>
          <w:tab w:leader="none" w:pos="1758" w:val="left"/>
        </w:tabs>
        <w:numPr>
          <w:ilvl w:val="0"/>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or Issuing Bank that is an Affected Financial Institution; and</w:t>
      </w:r>
    </w:p>
    <w:p>
      <w:pPr>
        <w:spacing w:after="0" w:line="179" w:lineRule="exact"/>
        <w:rPr>
          <w:rFonts w:ascii="Times New Roman" w:cs="Times New Roman" w:eastAsia="Times New Roman" w:hAnsi="Times New Roman"/>
          <w:sz w:val="18"/>
          <w:szCs w:val="18"/>
          <w:color w:val="010000"/>
        </w:rPr>
      </w:pPr>
    </w:p>
    <w:p>
      <w:pPr>
        <w:ind w:left="1760" w:hanging="584"/>
        <w:spacing w:after="0"/>
        <w:tabs>
          <w:tab w:leader="none" w:pos="1760" w:val="left"/>
        </w:tabs>
        <w:numPr>
          <w:ilvl w:val="0"/>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2" w:lineRule="exact"/>
        <w:rPr>
          <w:sz w:val="20"/>
          <w:szCs w:val="20"/>
          <w:color w:val="auto"/>
        </w:rPr>
      </w:pPr>
    </w:p>
    <w:p>
      <w:pPr>
        <w:ind w:left="1760" w:hanging="584"/>
        <w:spacing w:after="0"/>
        <w:tabs>
          <w:tab w:leader="none" w:pos="1760" w:val="left"/>
        </w:tabs>
        <w:numPr>
          <w:ilvl w:val="0"/>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reduction in full or in part or cancellation of any such liability;</w:t>
      </w:r>
    </w:p>
    <w:p>
      <w:pPr>
        <w:spacing w:after="0" w:line="234"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66" w:val="left"/>
        </w:tabs>
        <w:numPr>
          <w:ilvl w:val="0"/>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ectPr>
          <w:pgSz w:w="11900" w:h="16838" w:orient="portrait"/>
          <w:cols w:equalWidth="0" w:num="1">
            <w:col w:w="11240"/>
          </w:cols>
          <w:pgMar w:left="320" w:top="634" w:right="339" w:bottom="1440" w:gutter="0" w:footer="0" w:header="0"/>
        </w:sectPr>
      </w:pPr>
    </w:p>
    <w:bookmarkStart w:id="184" w:name="page185"/>
    <w:bookmarkEnd w:id="184"/>
    <w:p>
      <w:pPr>
        <w:ind w:firstLine="1176"/>
        <w:spacing w:after="0" w:line="287" w:lineRule="auto"/>
        <w:tabs>
          <w:tab w:leader="none" w:pos="1766" w:val="left"/>
        </w:tabs>
        <w:numPr>
          <w:ilvl w:val="0"/>
          <w:numId w:val="1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55"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9.18. </w:t>
      </w:r>
      <w:r>
        <w:rPr>
          <w:rFonts w:ascii="Times New Roman" w:cs="Times New Roman" w:eastAsia="Times New Roman" w:hAnsi="Times New Roman"/>
          <w:sz w:val="18"/>
          <w:szCs w:val="18"/>
          <w:u w:val="single" w:color="auto"/>
          <w:color w:val="000000"/>
        </w:rPr>
        <w:t>Acknowledgement Regarding Any Supported QFCs</w:t>
      </w:r>
      <w:r>
        <w:rPr>
          <w:rFonts w:ascii="Times New Roman" w:cs="Times New Roman" w:eastAsia="Times New Roman" w:hAnsi="Times New Roman"/>
          <w:sz w:val="18"/>
          <w:szCs w:val="18"/>
          <w:color w:val="000000"/>
        </w:rPr>
        <w:t>. To the extent that the Loan Documents provide support, through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000000"/>
        </w:rPr>
        <w:t>QFC Credit Support</w:t>
      </w:r>
      <w:r>
        <w:rPr>
          <w:rFonts w:ascii="Times New Roman" w:cs="Times New Roman" w:eastAsia="Times New Roman" w:hAnsi="Times New Roman"/>
          <w:sz w:val="18"/>
          <w:szCs w:val="18"/>
          <w:color w:val="000000"/>
        </w:rPr>
        <w:t>”, and each such QFC, a “</w:t>
      </w:r>
      <w:r>
        <w:rPr>
          <w:rFonts w:ascii="Times New Roman" w:cs="Times New Roman" w:eastAsia="Times New Roman" w:hAnsi="Times New Roman"/>
          <w:sz w:val="18"/>
          <w:szCs w:val="18"/>
          <w:u w:val="single" w:color="auto"/>
          <w:color w:val="000000"/>
        </w:rPr>
        <w:t>Supported QFC</w:t>
      </w:r>
      <w:r>
        <w:rPr>
          <w:rFonts w:ascii="Times New Roman" w:cs="Times New Roman" w:eastAsia="Times New Roman" w:hAnsi="Times New Roman"/>
          <w:sz w:val="18"/>
          <w:szCs w:val="18"/>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000000"/>
        </w:rPr>
        <w:t>U.S. Special Resolution Regimes</w:t>
      </w:r>
      <w:r>
        <w:rPr>
          <w:rFonts w:ascii="Times New Roman" w:cs="Times New Roman" w:eastAsia="Times New Roman" w:hAnsi="Times New Roman"/>
          <w:sz w:val="18"/>
          <w:szCs w:val="18"/>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7"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9" w:lineRule="exact"/>
        <w:rPr>
          <w:sz w:val="20"/>
          <w:szCs w:val="20"/>
          <w:color w:val="auto"/>
        </w:rPr>
      </w:pPr>
    </w:p>
    <w:p>
      <w:pPr>
        <w:ind w:left="1180"/>
        <w:spacing w:after="0"/>
        <w:tabs>
          <w:tab w:leader="none" w:pos="2500" w:val="left"/>
        </w:tabs>
        <w:rPr>
          <w:sz w:val="20"/>
          <w:szCs w:val="20"/>
          <w:color w:val="auto"/>
        </w:rPr>
      </w:pPr>
      <w:r>
        <w:rPr>
          <w:rFonts w:ascii="Times New Roman" w:cs="Times New Roman" w:eastAsia="Times New Roman" w:hAnsi="Times New Roman"/>
          <w:sz w:val="18"/>
          <w:szCs w:val="18"/>
          <w:color w:val="010000"/>
        </w:rPr>
        <w:t>SECTION 9.19.</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both"/>
        <w:ind w:firstLine="1176"/>
        <w:spacing w:after="0" w:line="252" w:lineRule="auto"/>
        <w:tabs>
          <w:tab w:leader="none" w:pos="1758"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w:t>
      </w:r>
    </w:p>
    <w:p>
      <w:pPr>
        <w:sectPr>
          <w:pgSz w:w="11900" w:h="16838" w:orient="portrait"/>
          <w:cols w:equalWidth="0" w:num="1">
            <w:col w:w="11240"/>
          </w:cols>
          <w:pgMar w:left="320" w:top="634" w:right="339" w:bottom="1440" w:gutter="0" w:footer="0" w:header="0"/>
        </w:sectPr>
      </w:pPr>
    </w:p>
    <w:bookmarkStart w:id="185" w:name="page186"/>
    <w:bookmarkEnd w:id="185"/>
    <w:p>
      <w:pPr>
        <w:ind w:right="20"/>
        <w:spacing w:after="0" w:line="287" w:lineRule="auto"/>
        <w:rPr>
          <w:sz w:val="20"/>
          <w:szCs w:val="20"/>
          <w:color w:val="auto"/>
        </w:rPr>
      </w:pPr>
      <w:r>
        <w:rPr>
          <w:rFonts w:ascii="Times New Roman" w:cs="Times New Roman" w:eastAsia="Times New Roman" w:hAnsi="Times New Roman"/>
          <w:sz w:val="18"/>
          <w:szCs w:val="18"/>
          <w:color w:val="auto"/>
        </w:rPr>
        <w:t>performance of the Loans, the Letters of Credit, the Commitments and this Agreement, or (iv) 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firstLine="1176"/>
        <w:spacing w:after="0" w:line="256" w:lineRule="auto"/>
        <w:tabs>
          <w:tab w:leader="none" w:pos="1756" w:val="left"/>
        </w:tabs>
        <w:numPr>
          <w:ilvl w:val="0"/>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unless either (1) sub-clause (i) in the immediately preceding paragraph is true with respect to a Lender or (2) a Lender has provided another representation, warranty and covenant in accordance with sub-clause (iv) in the immediately preceding clause,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ectPr>
          <w:pgSz w:w="11900" w:h="16838" w:orient="portrait"/>
          <w:cols w:equalWidth="0" w:num="1">
            <w:col w:w="11260"/>
          </w:cols>
          <w:pgMar w:left="320" w:top="634" w:right="319" w:bottom="1440" w:gutter="0" w:footer="0" w:header="0"/>
        </w:sectPr>
      </w:pPr>
    </w:p>
    <w:bookmarkStart w:id="186" w:name="page187"/>
    <w:bookmarkEnd w:id="186"/>
    <w:p>
      <w:pPr>
        <w:jc w:val="center"/>
        <w:ind w:left="1160"/>
        <w:spacing w:after="0"/>
        <w:rPr>
          <w:sz w:val="20"/>
          <w:szCs w:val="20"/>
          <w:color w:val="auto"/>
        </w:rPr>
      </w:pPr>
      <w:r>
        <w:rPr>
          <w:rFonts w:ascii="Times New Roman" w:cs="Times New Roman" w:eastAsia="Times New Roman" w:hAnsi="Times New Roman"/>
          <w:sz w:val="18"/>
          <w:szCs w:val="18"/>
          <w:color w:val="010000"/>
        </w:rPr>
        <w:t>ARTICLE X</w:t>
      </w:r>
    </w:p>
    <w:p>
      <w:pPr>
        <w:spacing w:after="0" w:line="235"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u w:val="single" w:color="auto"/>
          <w:color w:val="auto"/>
        </w:rPr>
        <w:t>Company Guarantee</w:t>
      </w:r>
    </w:p>
    <w:p>
      <w:pPr>
        <w:spacing w:after="0" w:line="222" w:lineRule="exact"/>
        <w:rPr>
          <w:sz w:val="20"/>
          <w:szCs w:val="20"/>
          <w:color w:val="auto"/>
        </w:rPr>
      </w:pPr>
    </w:p>
    <w:p>
      <w:pPr>
        <w:jc w:val="both"/>
        <w:ind w:firstLine="1178"/>
        <w:spacing w:after="0" w:line="261" w:lineRule="auto"/>
        <w:rPr>
          <w:sz w:val="20"/>
          <w:szCs w:val="20"/>
          <w:color w:val="auto"/>
        </w:rPr>
      </w:pPr>
      <w:r>
        <w:rPr>
          <w:rFonts w:ascii="Times New Roman" w:cs="Times New Roman" w:eastAsia="Times New Roman" w:hAnsi="Times New Roman"/>
          <w:sz w:val="18"/>
          <w:szCs w:val="18"/>
          <w:color w:val="010000"/>
        </w:rPr>
        <w:t xml:space="preserve">SECTION 10.01. </w:t>
      </w:r>
      <w:r>
        <w:rPr>
          <w:rFonts w:ascii="Times New Roman" w:cs="Times New Roman" w:eastAsia="Times New Roman" w:hAnsi="Times New Roman"/>
          <w:sz w:val="18"/>
          <w:szCs w:val="18"/>
          <w:u w:val="single" w:color="auto"/>
          <w:color w:val="000000"/>
        </w:rPr>
        <w:t>Guarantee</w:t>
      </w:r>
      <w:r>
        <w:rPr>
          <w:rFonts w:ascii="Times New Roman" w:cs="Times New Roman" w:eastAsia="Times New Roman" w:hAnsi="Times New Roman"/>
          <w:sz w:val="18"/>
          <w:szCs w:val="18"/>
          <w:color w:val="000000"/>
        </w:rPr>
        <w:t>. (a) The Company hereby unconditionally and irrevocably guarantees to the Administrative Agent,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ratable benefit of the Lenders and their respective successors, indorsees, transferees and assigns, the prompt and complete payment and performance by the Foreign Subsidiary Borrowers when due (whether at the stated maturity, by acceleration or otherwise) of the Obligations of the Foreign Subsidiary Borrowers (the “</w:t>
      </w:r>
      <w:r>
        <w:rPr>
          <w:rFonts w:ascii="Times New Roman" w:cs="Times New Roman" w:eastAsia="Times New Roman" w:hAnsi="Times New Roman"/>
          <w:sz w:val="18"/>
          <w:szCs w:val="18"/>
          <w:u w:val="single" w:color="auto"/>
          <w:color w:val="000000"/>
        </w:rPr>
        <w:t>Subsidiary Obligations</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firstLine="1176"/>
        <w:spacing w:after="0" w:line="264" w:lineRule="auto"/>
        <w:tabs>
          <w:tab w:leader="none" w:pos="1756"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agrees that the Subsidiary Obligations may at any time and from time to time exceed the amount of the liability of the Company hereunder that would exist in the absence of this Article X without impairing this Guarantee or affecting the rights and remedies of the Administrative Agent or any Lender hereunder.</w:t>
      </w:r>
    </w:p>
    <w:p>
      <w:pPr>
        <w:spacing w:after="0" w:line="188" w:lineRule="exact"/>
        <w:rPr>
          <w:rFonts w:ascii="Times New Roman" w:cs="Times New Roman" w:eastAsia="Times New Roman" w:hAnsi="Times New Roman"/>
          <w:sz w:val="18"/>
          <w:szCs w:val="18"/>
          <w:color w:val="010000"/>
        </w:rPr>
      </w:pPr>
    </w:p>
    <w:p>
      <w:pPr>
        <w:jc w:val="both"/>
        <w:ind w:firstLine="1176"/>
        <w:spacing w:after="0" w:line="264" w:lineRule="auto"/>
        <w:tabs>
          <w:tab w:leader="none" w:pos="1758"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Guarantee shall remain in full force and effect until all the Subsidiary Obligations shall have been satisfied by payment in full in immediately available funds, no Letter of Credit shall be outstanding and the Commitments shall be terminated, notwithstanding that from time to time during the term of this Guarantee the Foreign Subsidiary Borrowers may be free from any Subsidiary Obligations.</w:t>
      </w:r>
    </w:p>
    <w:p>
      <w:pPr>
        <w:spacing w:after="0" w:line="175" w:lineRule="exact"/>
        <w:rPr>
          <w:rFonts w:ascii="Times New Roman" w:cs="Times New Roman" w:eastAsia="Times New Roman" w:hAnsi="Times New Roman"/>
          <w:sz w:val="18"/>
          <w:szCs w:val="18"/>
          <w:color w:val="010000"/>
        </w:rPr>
      </w:pPr>
    </w:p>
    <w:p>
      <w:pPr>
        <w:jc w:val="both"/>
        <w:ind w:firstLine="1176"/>
        <w:spacing w:after="0" w:line="256" w:lineRule="auto"/>
        <w:tabs>
          <w:tab w:leader="none" w:pos="1756"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payment made by any Borrower, any other guarantor or any other Person or received or collected by the Administrative Agent or any Lender from any Borrower, any guarantor or any other Person by virtue of any action or proceeding or any set-off or appropriation or application at any time or from time to time in reduction of or in payment of the Subsidiary Obligations shall be deemed to modify, reduce, release or otherwise affect the liability of the Company hereunder which shall, notwithstanding any such payment (other than any payment made by the Company in respect of the Subsidiary Obligations or any payment received or collected from the Company in respect of the Subsidiary Obligations), remain liable for the Subsidiary Obligations until the Subsidiary Obligations are paid in full in immediately available funds, no Letter of Credit shall be outstanding and the Commitments are terminated.</w:t>
      </w:r>
    </w:p>
    <w:p>
      <w:pPr>
        <w:spacing w:after="0" w:line="197" w:lineRule="exact"/>
        <w:rPr>
          <w:sz w:val="20"/>
          <w:szCs w:val="20"/>
          <w:color w:val="auto"/>
        </w:rPr>
      </w:pPr>
    </w:p>
    <w:p>
      <w:pPr>
        <w:jc w:val="both"/>
        <w:ind w:firstLine="1178"/>
        <w:spacing w:after="0" w:line="252" w:lineRule="auto"/>
        <w:rPr>
          <w:sz w:val="20"/>
          <w:szCs w:val="20"/>
          <w:color w:val="auto"/>
        </w:rPr>
      </w:pPr>
      <w:r>
        <w:rPr>
          <w:rFonts w:ascii="Times New Roman" w:cs="Times New Roman" w:eastAsia="Times New Roman" w:hAnsi="Times New Roman"/>
          <w:sz w:val="18"/>
          <w:szCs w:val="18"/>
          <w:color w:val="010000"/>
        </w:rPr>
        <w:t xml:space="preserve">SECTION 10.02. </w:t>
      </w:r>
      <w:r>
        <w:rPr>
          <w:rFonts w:ascii="Times New Roman" w:cs="Times New Roman" w:eastAsia="Times New Roman" w:hAnsi="Times New Roman"/>
          <w:sz w:val="18"/>
          <w:szCs w:val="18"/>
          <w:u w:val="single" w:color="auto"/>
          <w:color w:val="000000"/>
        </w:rPr>
        <w:t>No Subrogation</w:t>
      </w:r>
      <w:r>
        <w:rPr>
          <w:rFonts w:ascii="Times New Roman" w:cs="Times New Roman" w:eastAsia="Times New Roman" w:hAnsi="Times New Roman"/>
          <w:sz w:val="18"/>
          <w:szCs w:val="18"/>
          <w:color w:val="000000"/>
        </w:rPr>
        <w:t>. Notwithstanding any payment made by the Company hereunder or any set-off or application of funds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by the Administrative Agent or any Lender, the Company shall not be entitled to be subrogated to any of the rights of the Administrative Agent or any Lender against the Foreign Subsidiary Borrowers or any guarantor or any collateral security or guarantee or right of offset held by the Administrative Agent or any Lender for the payment of the Subsidiary Obligations nor shall the Company seek or be entitled to seek any contribution or reimbursement from the Foreign Subsidiary Borrowers or any guarantor in respect of payments made by the Company under this Guarantee, until all amounts owing to the Administrative Agent and the Lenders by the Foreign Subsidiary Borrowers on account of the Subsidiary Obligations are paid in full in immediately available funds, no Letter of Credit shall be outstanding and the Commitments are terminated. If any amount shall be paid to the Company on account of such subrogation rights at any time when all of the Subsidiary Obligations shall not have been paid in full in immediately available funds, such amount shall be held by the Company for the benefit of the Administrative Agent and the Lenders, and shall, forthwith upon receipt by the Company, be turned over to the Administrative Agent in the exact form received by the Company (duly indorsed by the Company to the Administrative Agent, if required), to be applied against the Subsidiary Obligations whether matured or unmatured, in such order as the Administrative Agent may determine.</w:t>
      </w:r>
    </w:p>
    <w:p>
      <w:pPr>
        <w:spacing w:after="0" w:line="198"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10.03. </w:t>
      </w:r>
      <w:r>
        <w:rPr>
          <w:rFonts w:ascii="Times New Roman" w:cs="Times New Roman" w:eastAsia="Times New Roman" w:hAnsi="Times New Roman"/>
          <w:sz w:val="18"/>
          <w:szCs w:val="18"/>
          <w:u w:val="single" w:color="auto"/>
          <w:color w:val="000000"/>
        </w:rPr>
        <w:t>Amendments, etc. with respect to the Subsidiary Obligations</w:t>
      </w:r>
      <w:r>
        <w:rPr>
          <w:rFonts w:ascii="Times New Roman" w:cs="Times New Roman" w:eastAsia="Times New Roman" w:hAnsi="Times New Roman"/>
          <w:sz w:val="18"/>
          <w:szCs w:val="18"/>
          <w:color w:val="000000"/>
        </w:rPr>
        <w:t>. The Company shall remain obligated under this Guarantee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notwithstanding that, without any reservation of rights against the Company and without notice to or further assent by the Company, any demand for payment of any of the Subsidiary Obligations made by the Administrative Agent or any Lender may be rescinded by the Administrative Agent or such Lender and any of the Subsidiary Obligations continued, and the Subsidiary Obligations or the liability of any other Person upon or for any part thereof, or any collateral security or guarantee therefor or right of offset with respect thereto, may, from time to time, in whole or in part, be</w:t>
      </w:r>
    </w:p>
    <w:p>
      <w:pPr>
        <w:sectPr>
          <w:pgSz w:w="11900" w:h="16838" w:orient="portrait"/>
          <w:cols w:equalWidth="0" w:num="1">
            <w:col w:w="11240"/>
          </w:cols>
          <w:pgMar w:left="320" w:top="634" w:right="339" w:bottom="1440" w:gutter="0" w:footer="0" w:header="0"/>
        </w:sectPr>
      </w:pPr>
    </w:p>
    <w:bookmarkStart w:id="187" w:name="page188"/>
    <w:bookmarkEnd w:id="187"/>
    <w:p>
      <w:pPr>
        <w:jc w:val="both"/>
        <w:spacing w:after="0" w:line="256" w:lineRule="auto"/>
        <w:rPr>
          <w:sz w:val="20"/>
          <w:szCs w:val="20"/>
          <w:color w:val="auto"/>
        </w:rPr>
      </w:pPr>
      <w:r>
        <w:rPr>
          <w:rFonts w:ascii="Times New Roman" w:cs="Times New Roman" w:eastAsia="Times New Roman" w:hAnsi="Times New Roman"/>
          <w:sz w:val="18"/>
          <w:szCs w:val="18"/>
          <w:color w:val="auto"/>
        </w:rPr>
        <w:t>renewed, extended, amended, modified, accelerated, compromised, waived, surrendered or released by the Administrative Agent or any Lender, and this Agreement and any other documents executed and delivered in connection therewith may be amended, modified, supplemented or terminated, in whole or in part, in accordance with Section 9.02, as the Administrative Agent (or the Required Lenders or all Lenders, as the case may be) may deem advisable from time to time, and any collateral security, guarantee or right of offset at any time held by the Administrative Agent or any Lender for the payment of the Subsidiary Obligations may be sold, exchanged, waived, surrendered or released without affecting the Company’s obligations under this Article X. Neither the Administrative Agent nor any Lender shall have any obligation to protect, secure, perfect or insure any Lien at any time held by it as security for the Subsidiary Obligations or for this Guarantee.</w:t>
      </w:r>
    </w:p>
    <w:p>
      <w:pPr>
        <w:spacing w:after="0" w:line="185" w:lineRule="exact"/>
        <w:rPr>
          <w:sz w:val="20"/>
          <w:szCs w:val="20"/>
          <w:color w:val="auto"/>
        </w:rPr>
      </w:pPr>
    </w:p>
    <w:p>
      <w:pPr>
        <w:jc w:val="both"/>
        <w:ind w:firstLine="1178"/>
        <w:spacing w:after="0" w:line="253" w:lineRule="auto"/>
        <w:rPr>
          <w:sz w:val="20"/>
          <w:szCs w:val="20"/>
          <w:color w:val="auto"/>
        </w:rPr>
      </w:pPr>
      <w:r>
        <w:rPr>
          <w:rFonts w:ascii="Times New Roman" w:cs="Times New Roman" w:eastAsia="Times New Roman" w:hAnsi="Times New Roman"/>
          <w:sz w:val="18"/>
          <w:szCs w:val="18"/>
          <w:color w:val="010000"/>
        </w:rPr>
        <w:t xml:space="preserve">SECTION 10.04. </w:t>
      </w:r>
      <w:r>
        <w:rPr>
          <w:rFonts w:ascii="Times New Roman" w:cs="Times New Roman" w:eastAsia="Times New Roman" w:hAnsi="Times New Roman"/>
          <w:sz w:val="18"/>
          <w:szCs w:val="18"/>
          <w:u w:val="single" w:color="auto"/>
          <w:color w:val="000000"/>
        </w:rPr>
        <w:t>Guarantee Absolute and Unconditional</w:t>
      </w:r>
      <w:r>
        <w:rPr>
          <w:rFonts w:ascii="Times New Roman" w:cs="Times New Roman" w:eastAsia="Times New Roman" w:hAnsi="Times New Roman"/>
          <w:sz w:val="18"/>
          <w:szCs w:val="18"/>
          <w:color w:val="000000"/>
        </w:rPr>
        <w:t>. The Company waives any and all notice of the creation, renewal, extension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accrual of any of the Subsidiary Obligations and notice of or proof of reliance by the Administrative Agent or any Lender upon this Guarantee or acceptance of this Guarantee; the Subsidiary Obligations, and any of them, shall conclusively be deemed to have been created, contracted or incurred, or renewed, extended, amended or waived, in reliance upon this Article X; and all dealings between the Company, on the one hand, and the Administrative Agent and the Lenders, on the other hand, likewise shall be conclusively presumed to have been had or consummated in reliance upon this Article X. The Company waives diligence, presentment, protest, demand for payment and notice of default or nonpayment to or upon the Foreign Subsidiary Borrowers with respect to the Subsidiary Obligations. The Company understands and agrees that this Guarantee shall be construed as a continuing, absolute and unconditional guarantee of payment without regard to</w:t>
      </w:r>
    </w:p>
    <w:p>
      <w:pPr>
        <w:spacing w:after="0" w:line="5" w:lineRule="exact"/>
        <w:rPr>
          <w:sz w:val="20"/>
          <w:szCs w:val="20"/>
          <w:color w:val="auto"/>
        </w:rPr>
      </w:pPr>
    </w:p>
    <w:p>
      <w:pPr>
        <w:jc w:val="both"/>
        <w:ind w:firstLine="1176"/>
        <w:spacing w:after="0" w:line="250" w:lineRule="auto"/>
        <w:tabs>
          <w:tab w:leader="none" w:pos="142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this Agreement, any of the Subsidiary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Foreign Subsidiary Borrower or any other Person against the Administrative Agent or any Lender arising under any law or regulation of any jurisdiction or any other event, or (c) any other circumstance whatsoever (with or without notice to or knowledge of any Borrower) which constitutes, or might be construed to constitute, an equitable or legal discharge of the Foreign Subsidiary Borrowers for the Subsidiary Obligations, or of the Company under this Article X, in bankruptcy or in any other instance. When making any demand hereunder or otherwise pursuing its rights and remedies hereunder against the Company, the Administrative Agent or any Lender may, but shall be under no obligation to, make a similar demand on or otherwise pursue such rights and remedies as it may have against the Foreign Subsidiary Borrowers or any guarantor or any other Person or against any collateral security or guarantee for the Subsidiary Obligations or any right of offset with respect thereto, and any failure by the Administrative Agent or any Lender to make any such demand, to pursue such other rights or remedies or to collect any payments from any Foreign Subsidiary Borrower, any guarantor or any other Person or to realize upon any such collateral security or guarantee or to exercise any such right of offset, or any release of any Foreign Subsidiary Borrower, any guarantor or any other Person or any such collateral security, guarantee or right of offset, shall not relieve the Company of any obligation or liability under this Article X, and shall not impair or affect the rights and remedies, whether express, implied or available as a matter of law, of the Administrative Agent or any Lender against the Company under this Article X. For the purposes hereof “demand” shall include the commencement and continuance of any legal proceedings.</w:t>
      </w:r>
    </w:p>
    <w:p>
      <w:pPr>
        <w:spacing w:after="0" w:line="206" w:lineRule="exact"/>
        <w:rPr>
          <w:sz w:val="20"/>
          <w:szCs w:val="20"/>
          <w:color w:val="auto"/>
        </w:rPr>
      </w:pPr>
    </w:p>
    <w:p>
      <w:pPr>
        <w:jc w:val="both"/>
        <w:ind w:firstLine="1178"/>
        <w:spacing w:after="0" w:line="256" w:lineRule="auto"/>
        <w:rPr>
          <w:sz w:val="20"/>
          <w:szCs w:val="20"/>
          <w:color w:val="auto"/>
        </w:rPr>
      </w:pPr>
      <w:r>
        <w:rPr>
          <w:rFonts w:ascii="Times New Roman" w:cs="Times New Roman" w:eastAsia="Times New Roman" w:hAnsi="Times New Roman"/>
          <w:sz w:val="18"/>
          <w:szCs w:val="18"/>
          <w:color w:val="010000"/>
        </w:rPr>
        <w:t xml:space="preserve">SECTION 10.05. </w:t>
      </w:r>
      <w:r>
        <w:rPr>
          <w:rFonts w:ascii="Times New Roman" w:cs="Times New Roman" w:eastAsia="Times New Roman" w:hAnsi="Times New Roman"/>
          <w:sz w:val="18"/>
          <w:szCs w:val="18"/>
          <w:u w:val="single" w:color="auto"/>
          <w:color w:val="000000"/>
        </w:rPr>
        <w:t>Reinstatement</w:t>
      </w:r>
      <w:r>
        <w:rPr>
          <w:rFonts w:ascii="Times New Roman" w:cs="Times New Roman" w:eastAsia="Times New Roman" w:hAnsi="Times New Roman"/>
          <w:sz w:val="18"/>
          <w:szCs w:val="18"/>
          <w:color w:val="000000"/>
        </w:rPr>
        <w:t>. This Article X shall continue to be effective, or shall be reinstated, as the case may be, if at any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 or any part thereof, of any of the Subsidiary Obligations is rescinded or must otherwise be restored or returned by the Administrative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ectPr>
          <w:pgSz w:w="11900" w:h="16838" w:orient="portrait"/>
          <w:cols w:equalWidth="0" w:num="1">
            <w:col w:w="11240"/>
          </w:cols>
          <w:pgMar w:left="320" w:top="634" w:right="339" w:bottom="1440" w:gutter="0" w:footer="0" w:header="0"/>
        </w:sectPr>
      </w:pPr>
    </w:p>
    <w:bookmarkStart w:id="188" w:name="page189"/>
    <w:bookmarkEnd w:id="188"/>
    <w:p>
      <w:pPr>
        <w:ind w:firstLine="1178"/>
        <w:spacing w:after="0" w:line="287" w:lineRule="auto"/>
        <w:rPr>
          <w:sz w:val="20"/>
          <w:szCs w:val="20"/>
          <w:color w:val="auto"/>
        </w:rPr>
      </w:pPr>
      <w:r>
        <w:rPr>
          <w:rFonts w:ascii="Times New Roman" w:cs="Times New Roman" w:eastAsia="Times New Roman" w:hAnsi="Times New Roman"/>
          <w:sz w:val="18"/>
          <w:szCs w:val="18"/>
          <w:color w:val="010000"/>
        </w:rPr>
        <w:t xml:space="preserve">SECTION 10.06. </w:t>
      </w:r>
      <w:r>
        <w:rPr>
          <w:rFonts w:ascii="Times New Roman" w:cs="Times New Roman" w:eastAsia="Times New Roman" w:hAnsi="Times New Roman"/>
          <w:sz w:val="18"/>
          <w:szCs w:val="18"/>
          <w:u w:val="single" w:color="auto"/>
          <w:color w:val="000000"/>
        </w:rPr>
        <w:t>Payments</w:t>
      </w:r>
      <w:r>
        <w:rPr>
          <w:rFonts w:ascii="Times New Roman" w:cs="Times New Roman" w:eastAsia="Times New Roman" w:hAnsi="Times New Roman"/>
          <w:sz w:val="18"/>
          <w:szCs w:val="18"/>
          <w:color w:val="000000"/>
        </w:rPr>
        <w:t>. The Company hereby guarantees that payments hereunder will be paid to the Administrative Agent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set-off or counterclaim in dollars or the applicable Agreed Currency in accordance with Section 2.18.</w:t>
      </w:r>
    </w:p>
    <w:p>
      <w:pPr>
        <w:spacing w:after="0" w:line="1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240"/>
          </w:cols>
          <w:pgMar w:left="320" w:top="634"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Joanne C. Crevoiserat, certify that,</w:t>
      </w:r>
    </w:p>
    <w:p>
      <w:pPr>
        <w:spacing w:after="0" w:line="110" w:lineRule="exact"/>
        <w:rPr>
          <w:sz w:val="20"/>
          <w:szCs w:val="20"/>
          <w:color w:val="auto"/>
        </w:rPr>
      </w:pPr>
    </w:p>
    <w:p>
      <w:pPr>
        <w:ind w:left="302" w:hanging="302"/>
        <w:spacing w:after="0"/>
        <w:tabs>
          <w:tab w:leader="none" w:pos="3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Tapestry, Inc.;</w:t>
      </w:r>
    </w:p>
    <w:p>
      <w:pPr>
        <w:spacing w:after="0" w:line="110"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9"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6"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6"/>
          <w:szCs w:val="16"/>
          <w:color w:val="auto"/>
        </w:rPr>
      </w:pPr>
    </w:p>
    <w:p>
      <w:pPr>
        <w:ind w:left="582" w:hanging="287"/>
        <w:spacing w:after="0" w:line="294" w:lineRule="auto"/>
        <w:tabs>
          <w:tab w:leader="none" w:pos="57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6"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6"/>
          <w:szCs w:val="16"/>
          <w:color w:val="auto"/>
        </w:rPr>
      </w:pPr>
    </w:p>
    <w:p>
      <w:pPr>
        <w:ind w:left="582" w:hanging="287"/>
        <w:spacing w:after="0" w:line="294" w:lineRule="auto"/>
        <w:tabs>
          <w:tab w:leader="none" w:pos="57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6"/>
          <w:szCs w:val="16"/>
          <w:color w:val="auto"/>
        </w:rPr>
      </w:pPr>
    </w:p>
    <w:p>
      <w:pPr>
        <w:ind w:left="582" w:hanging="287"/>
        <w:spacing w:after="0" w:line="294" w:lineRule="auto"/>
        <w:tabs>
          <w:tab w:leader="none" w:pos="576"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February 6, 2025</w:t>
      </w:r>
    </w:p>
    <w:p>
      <w:pPr>
        <w:spacing w:after="0" w:line="172" w:lineRule="exact"/>
        <w:rPr>
          <w:sz w:val="20"/>
          <w:szCs w:val="20"/>
          <w:color w:val="auto"/>
        </w:rPr>
      </w:pPr>
    </w:p>
    <w:p>
      <w:pPr>
        <w:ind w:left="22"/>
        <w:spacing w:after="0"/>
        <w:tabs>
          <w:tab w:leader="none" w:pos="421" w:val="left"/>
        </w:tabs>
        <w:rPr>
          <w:sz w:val="20"/>
          <w:szCs w:val="20"/>
          <w:color w:val="auto"/>
        </w:rPr>
      </w:pPr>
      <w:r>
        <w:rPr>
          <w:rFonts w:ascii="Times New Roman" w:cs="Times New Roman" w:eastAsia="Times New Roman" w:hAnsi="Times New Roman"/>
          <w:sz w:val="16"/>
          <w:szCs w:val="16"/>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18415</wp:posOffset>
            </wp:positionV>
            <wp:extent cx="18307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1830705" cy="7620"/>
                    </a:xfrm>
                    <a:prstGeom prst="rect">
                      <a:avLst/>
                    </a:prstGeom>
                    <a:noFill/>
                  </pic:spPr>
                </pic:pic>
              </a:graphicData>
            </a:graphic>
          </wp:anchor>
        </w:drawing>
      </w:r>
    </w:p>
    <w:p>
      <w:pPr>
        <w:spacing w:after="0" w:line="29" w:lineRule="exact"/>
        <w:rPr>
          <w:sz w:val="20"/>
          <w:szCs w:val="20"/>
          <w:color w:val="auto"/>
        </w:rPr>
      </w:pPr>
    </w:p>
    <w:p>
      <w:pPr>
        <w:ind w:left="442"/>
        <w:spacing w:after="0"/>
        <w:tabs>
          <w:tab w:leader="none" w:pos="1101"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Joanne C. Crevoiserat</w:t>
      </w:r>
    </w:p>
    <w:p>
      <w:pPr>
        <w:spacing w:after="0" w:line="49" w:lineRule="exact"/>
        <w:rPr>
          <w:sz w:val="20"/>
          <w:szCs w:val="20"/>
          <w:color w:val="auto"/>
        </w:rPr>
      </w:pPr>
    </w:p>
    <w:p>
      <w:pPr>
        <w:ind w:left="442"/>
        <w:spacing w:after="0"/>
        <w:tabs>
          <w:tab w:leader="none" w:pos="1101"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ectPr>
          <w:pgSz w:w="11900" w:h="16838" w:orient="portrait"/>
          <w:cols w:equalWidth="0" w:num="1">
            <w:col w:w="11242"/>
          </w:cols>
          <w:pgMar w:left="318" w:top="91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14"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6"/>
          <w:szCs w:val="16"/>
          <w:color w:val="auto"/>
        </w:rPr>
        <w:t>I, Scott A. Roe, certify that,</w:t>
      </w:r>
    </w:p>
    <w:p>
      <w:pPr>
        <w:spacing w:after="0" w:line="110" w:lineRule="exact"/>
        <w:rPr>
          <w:sz w:val="20"/>
          <w:szCs w:val="20"/>
          <w:color w:val="auto"/>
        </w:rPr>
      </w:pPr>
    </w:p>
    <w:p>
      <w:pPr>
        <w:ind w:left="302" w:hanging="302"/>
        <w:spacing w:after="0"/>
        <w:tabs>
          <w:tab w:leader="none" w:pos="30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Tapestry, Inc.;</w:t>
      </w:r>
    </w:p>
    <w:p>
      <w:pPr>
        <w:spacing w:after="0" w:line="110"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9"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6"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6"/>
          <w:szCs w:val="16"/>
          <w:color w:val="auto"/>
        </w:rPr>
      </w:pPr>
    </w:p>
    <w:p>
      <w:pPr>
        <w:ind w:left="582" w:hanging="287"/>
        <w:spacing w:after="0" w:line="294" w:lineRule="auto"/>
        <w:tabs>
          <w:tab w:leader="none" w:pos="57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6"/>
          <w:szCs w:val="16"/>
          <w:color w:val="auto"/>
        </w:rPr>
      </w:pPr>
    </w:p>
    <w:p>
      <w:pPr>
        <w:jc w:val="both"/>
        <w:ind w:left="582" w:hanging="287"/>
        <w:spacing w:after="0" w:line="275" w:lineRule="auto"/>
        <w:tabs>
          <w:tab w:leader="none" w:pos="576"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6"/>
          <w:szCs w:val="16"/>
          <w:color w:val="auto"/>
        </w:rPr>
      </w:pPr>
    </w:p>
    <w:p>
      <w:pPr>
        <w:ind w:left="582" w:hanging="287"/>
        <w:spacing w:after="0" w:line="294" w:lineRule="auto"/>
        <w:tabs>
          <w:tab w:leader="none" w:pos="57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6"/>
          <w:szCs w:val="16"/>
          <w:color w:val="auto"/>
        </w:rPr>
      </w:pPr>
    </w:p>
    <w:p>
      <w:pPr>
        <w:ind w:left="582" w:hanging="287"/>
        <w:spacing w:after="0" w:line="294" w:lineRule="auto"/>
        <w:tabs>
          <w:tab w:leader="none" w:pos="576"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February 6, 2025</w:t>
      </w:r>
    </w:p>
    <w:p>
      <w:pPr>
        <w:spacing w:after="0" w:line="147" w:lineRule="exact"/>
        <w:rPr>
          <w:sz w:val="20"/>
          <w:szCs w:val="20"/>
          <w:color w:val="auto"/>
        </w:rPr>
      </w:pPr>
    </w:p>
    <w:p>
      <w:pPr>
        <w:ind w:left="22"/>
        <w:spacing w:after="0"/>
        <w:tabs>
          <w:tab w:leader="none" w:pos="421" w:val="left"/>
        </w:tabs>
        <w:rPr>
          <w:sz w:val="20"/>
          <w:szCs w:val="20"/>
          <w:color w:val="auto"/>
        </w:rPr>
      </w:pPr>
      <w:r>
        <w:rPr>
          <w:rFonts w:ascii="Times New Roman" w:cs="Times New Roman" w:eastAsia="Times New Roman" w:hAnsi="Times New Roman"/>
          <w:sz w:val="16"/>
          <w:szCs w:val="16"/>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wp:posOffset>
            </wp:positionV>
            <wp:extent cx="18307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1830705" cy="7620"/>
                    </a:xfrm>
                    <a:prstGeom prst="rect">
                      <a:avLst/>
                    </a:prstGeom>
                    <a:noFill/>
                  </pic:spPr>
                </pic:pic>
              </a:graphicData>
            </a:graphic>
          </wp:anchor>
        </w:drawing>
      </w:r>
    </w:p>
    <w:p>
      <w:pPr>
        <w:sectPr>
          <w:pgSz w:w="11900" w:h="16838" w:orient="portrait"/>
          <w:cols w:equalWidth="0" w:num="1">
            <w:col w:w="11242"/>
          </w:cols>
          <w:pgMar w:left="318" w:top="917" w:right="339" w:bottom="1440" w:gutter="0" w:footer="0" w:header="0"/>
        </w:sectPr>
      </w:pPr>
    </w:p>
    <w:p>
      <w:pPr>
        <w:spacing w:after="0" w:line="7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5"/>
          <w:szCs w:val="15"/>
          <w:color w:val="auto"/>
        </w:rPr>
        <w:t>Name:</w:t>
      </w:r>
    </w:p>
    <w:p>
      <w:pPr>
        <w:spacing w:after="0" w:line="6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Scott A. Roe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2">
            <w:col w:w="862" w:space="280"/>
            <w:col w:w="10100"/>
          </w:cols>
          <w:pgMar w:left="318" w:top="917" w:right="339" w:bottom="1440" w:gutter="0" w:footer="0" w:header="0"/>
          <w:type w:val="continuous"/>
        </w:sectPr>
      </w:pPr>
    </w:p>
    <w:bookmarkStart w:id="191" w:name="page192"/>
    <w:bookmarkEnd w:id="191"/>
    <w:p>
      <w:pPr>
        <w:ind w:left="1002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113"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Tapestry, Inc. (the “Company”) hereby certifies, to such officer’s knowledge, that:</w:t>
      </w:r>
    </w:p>
    <w:p>
      <w:pPr>
        <w:spacing w:after="0" w:line="40" w:lineRule="exact"/>
        <w:rPr>
          <w:sz w:val="20"/>
          <w:szCs w:val="20"/>
          <w:color w:val="auto"/>
        </w:rPr>
      </w:pPr>
    </w:p>
    <w:p>
      <w:pPr>
        <w:ind w:firstLine="293"/>
        <w:spacing w:after="0" w:line="294" w:lineRule="auto"/>
        <w:tabs>
          <w:tab w:leader="none" w:pos="835"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December 28, 2024 (the “Report”) fully complies with the requirements of Section 13(a) or Section 15(d), as applicable, of the Securities Exchange Act of 1934, as amended; and</w:t>
      </w:r>
    </w:p>
    <w:p>
      <w:pPr>
        <w:spacing w:after="0" w:line="40" w:lineRule="exact"/>
        <w:rPr>
          <w:rFonts w:ascii="Times New Roman" w:cs="Times New Roman" w:eastAsia="Times New Roman" w:hAnsi="Times New Roman"/>
          <w:sz w:val="16"/>
          <w:szCs w:val="16"/>
          <w:color w:val="auto"/>
        </w:rPr>
      </w:pPr>
    </w:p>
    <w:p>
      <w:pPr>
        <w:ind w:left="740" w:hanging="447"/>
        <w:spacing w:after="0"/>
        <w:tabs>
          <w:tab w:leader="none" w:pos="74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6, 2025</w:t>
      </w:r>
    </w:p>
    <w:p>
      <w:pPr>
        <w:spacing w:after="0" w:line="172"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18415</wp:posOffset>
            </wp:positionV>
            <wp:extent cx="18307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1830705" cy="7620"/>
                    </a:xfrm>
                    <a:prstGeom prst="rect">
                      <a:avLst/>
                    </a:prstGeom>
                    <a:noFill/>
                  </pic:spPr>
                </pic:pic>
              </a:graphicData>
            </a:graphic>
          </wp:anchor>
        </w:drawing>
      </w:r>
    </w:p>
    <w:p>
      <w:pPr>
        <w:spacing w:after="0" w:line="29"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Joanne C. Crevoiserat</w:t>
      </w:r>
    </w:p>
    <w:p>
      <w:pPr>
        <w:spacing w:after="0" w:line="49"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196" w:lineRule="exact"/>
        <w:rPr>
          <w:sz w:val="20"/>
          <w:szCs w:val="20"/>
          <w:color w:val="auto"/>
        </w:rPr>
      </w:pPr>
    </w:p>
    <w:p>
      <w:pPr>
        <w:ind w:right="460" w:firstLine="294"/>
        <w:spacing w:after="0" w:line="294"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20" w:right="339" w:bottom="1440" w:gutter="0" w:footer="0" w:header="0"/>
        </w:sectPr>
      </w:pPr>
    </w:p>
    <w:bookmarkStart w:id="192" w:name="page193"/>
    <w:bookmarkEnd w:id="192"/>
    <w:p>
      <w:pPr>
        <w:ind w:left="10020"/>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113"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Tapestry, Inc. (the “Company”) hereby certifies, to such officer’s knowledge, that:</w:t>
      </w:r>
    </w:p>
    <w:p>
      <w:pPr>
        <w:spacing w:after="0" w:line="40" w:lineRule="exact"/>
        <w:rPr>
          <w:sz w:val="20"/>
          <w:szCs w:val="20"/>
          <w:color w:val="auto"/>
        </w:rPr>
      </w:pPr>
    </w:p>
    <w:p>
      <w:pPr>
        <w:ind w:firstLine="346"/>
        <w:spacing w:after="0" w:line="294" w:lineRule="auto"/>
        <w:tabs>
          <w:tab w:leader="none" w:pos="87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December 28, 2024 (the “Report”) fully complies with the requirements of Section 13(a) or Section 15(d), as applicable, of the Securities Exchange Act of 1934, as amended; and</w:t>
      </w:r>
    </w:p>
    <w:p>
      <w:pPr>
        <w:spacing w:after="0" w:line="40" w:lineRule="exact"/>
        <w:rPr>
          <w:sz w:val="20"/>
          <w:szCs w:val="20"/>
          <w:color w:val="auto"/>
        </w:rPr>
      </w:pPr>
    </w:p>
    <w:p>
      <w:pPr>
        <w:ind w:right="1020" w:firstLine="334"/>
        <w:spacing w:after="0" w:line="408" w:lineRule="auto"/>
        <w:tabs>
          <w:tab w:leader="none" w:pos="7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February 6, 2025</w:t>
      </w:r>
    </w:p>
    <w:p>
      <w:pPr>
        <w:ind w:left="20"/>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33655</wp:posOffset>
            </wp:positionV>
            <wp:extent cx="18307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1830705" cy="762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Name:</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Scott A. Roe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15" w:lineRule="exact"/>
        <w:rPr>
          <w:sz w:val="20"/>
          <w:szCs w:val="20"/>
          <w:color w:val="auto"/>
        </w:rPr>
      </w:pPr>
    </w:p>
    <w:p>
      <w:pPr>
        <w:sectPr>
          <w:pgSz w:w="11900" w:h="16838" w:orient="portrait"/>
          <w:cols w:equalWidth="0" w:num="2">
            <w:col w:w="860" w:space="280"/>
            <w:col w:w="10100"/>
          </w:cols>
          <w:pgMar w:left="320" w:top="920" w:right="339" w:bottom="1440" w:gutter="0" w:footer="0" w:header="0"/>
          <w:type w:val="continuous"/>
        </w:sectPr>
      </w:pPr>
    </w:p>
    <w:p>
      <w:pPr>
        <w:ind w:right="460" w:firstLine="294"/>
        <w:spacing w:after="0" w:line="294"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2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1."/>
      <w:numFmt w:val="decimal"/>
      <w:start w:val="2"/>
    </w:lvl>
  </w:abstractNum>
  <w:abstractNum w:abstractNumId="3">
    <w:nsid w:val="1FBFE8E0"/>
    <w:multiLevelType w:val="hybridMultilevel"/>
    <w:lvl w:ilvl="0">
      <w:lvlJc w:val="left"/>
      <w:lvlText w:val="%1."/>
      <w:numFmt w:val="decimal"/>
      <w:start w:val="3"/>
    </w:lvl>
  </w:abstractNum>
  <w:abstractNum w:abstractNumId="4">
    <w:nsid w:val="5092CA79"/>
    <w:multiLevelType w:val="hybridMultilevel"/>
    <w:lvl w:ilvl="0">
      <w:lvlJc w:val="left"/>
      <w:lvlText w:val="(%1)"/>
      <w:numFmt w:val="lowerRoman"/>
      <w:start w:val="2"/>
    </w:lvl>
  </w:abstractNum>
  <w:abstractNum w:abstractNumId="5">
    <w:nsid w:val="1D545C4D"/>
    <w:multiLevelType w:val="hybridMultilevel"/>
    <w:lvl w:ilvl="0">
      <w:lvlJc w:val="left"/>
      <w:lvlText w:val="(%1)"/>
      <w:numFmt w:val="decimal"/>
      <w:start w:val="1"/>
    </w:lvl>
  </w:abstractNum>
  <w:abstractNum w:abstractNumId="6">
    <w:nsid w:val="59ADEA3D"/>
    <w:multiLevelType w:val="hybridMultilevel"/>
    <w:lvl w:ilvl="0">
      <w:lvlJc w:val="left"/>
      <w:lvlText w:val="%1."/>
      <w:numFmt w:val="decimal"/>
      <w:start w:val="6"/>
    </w:lvl>
  </w:abstractNum>
  <w:abstractNum w:abstractNumId="7">
    <w:nsid w:val="288F1A34"/>
    <w:multiLevelType w:val="hybridMultilevel"/>
    <w:lvl w:ilvl="0">
      <w:lvlJc w:val="left"/>
      <w:lvlText w:val="(%1)"/>
      <w:numFmt w:val="decimal"/>
      <w:start w:val="1"/>
    </w:lvl>
  </w:abstractNum>
  <w:abstractNum w:abstractNumId="8">
    <w:nsid w:val="2A155DBC"/>
    <w:multiLevelType w:val="hybridMultilevel"/>
    <w:lvl w:ilvl="0">
      <w:lvlJc w:val="left"/>
      <w:lvlText w:val="%1."/>
      <w:numFmt w:val="decimal"/>
      <w:start w:val="7"/>
    </w:lvl>
  </w:abstractNum>
  <w:abstractNum w:abstractNumId="9">
    <w:nsid w:val="1D9F6E5F"/>
    <w:multiLevelType w:val="hybridMultilevel"/>
    <w:lvl w:ilvl="0">
      <w:lvlJc w:val="left"/>
      <w:lvlText w:val="(%1)"/>
      <w:numFmt w:val="decimal"/>
      <w:start w:val="1"/>
    </w:lvl>
  </w:abstractNum>
  <w:abstractNum w:abstractNumId="10">
    <w:nsid w:val="97E1B4E"/>
    <w:multiLevelType w:val="hybridMultilevel"/>
    <w:lvl w:ilvl="0">
      <w:lvlJc w:val="left"/>
      <w:lvlText w:val="(%1)"/>
      <w:numFmt w:val="decimal"/>
      <w:start w:val="1"/>
    </w:lvl>
  </w:abstractNum>
  <w:abstractNum w:abstractNumId="11">
    <w:nsid w:val="51088277"/>
    <w:multiLevelType w:val="hybridMultilevel"/>
    <w:lvl w:ilvl="0">
      <w:lvlJc w:val="left"/>
      <w:lvlText w:val="(%1)"/>
      <w:numFmt w:val="decimal"/>
      <w:start w:val="1"/>
    </w:lvl>
  </w:abstractNum>
  <w:abstractNum w:abstractNumId="12">
    <w:nsid w:val="1CA0C5FA"/>
    <w:multiLevelType w:val="hybridMultilevel"/>
    <w:lvl w:ilvl="0">
      <w:lvlJc w:val="left"/>
      <w:lvlText w:val="(%1)"/>
      <w:numFmt w:val="decimal"/>
      <w:start w:val="1"/>
    </w:lvl>
  </w:abstractNum>
  <w:abstractNum w:abstractNumId="13">
    <w:nsid w:val="53584BCB"/>
    <w:multiLevelType w:val="hybridMultilevel"/>
    <w:lvl w:ilvl="0">
      <w:lvlJc w:val="left"/>
      <w:lvlText w:val="(%1)"/>
      <w:numFmt w:val="lowerRoman"/>
      <w:start w:val="2"/>
    </w:lvl>
  </w:abstractNum>
  <w:abstractNum w:abstractNumId="14">
    <w:nsid w:val="415E286C"/>
    <w:multiLevelType w:val="hybridMultilevel"/>
    <w:lvl w:ilvl="0">
      <w:lvlJc w:val="left"/>
      <w:lvlText w:val="(%1)"/>
      <w:numFmt w:val="decimal"/>
      <w:start w:val="1"/>
    </w:lvl>
    <w:lvl w:ilvl="1">
      <w:lvlJc w:val="left"/>
      <w:lvlText w:val="%2."/>
      <w:numFmt w:val="decimal"/>
      <w:start w:val="12"/>
    </w:lvl>
  </w:abstractNum>
  <w:abstractNum w:abstractNumId="15">
    <w:nsid w:val="7C58FD05"/>
    <w:multiLevelType w:val="hybridMultilevel"/>
    <w:lvl w:ilvl="0">
      <w:lvlJc w:val="left"/>
      <w:lvlText w:val="(%1)"/>
      <w:numFmt w:val="decimal"/>
      <w:start w:val="1"/>
    </w:lvl>
  </w:abstractNum>
  <w:abstractNum w:abstractNumId="16">
    <w:nsid w:val="23D86AAC"/>
    <w:multiLevelType w:val="hybridMultilevel"/>
    <w:lvl w:ilvl="0">
      <w:lvlJc w:val="left"/>
      <w:lvlText w:val="(%1)"/>
      <w:numFmt w:val="decimal"/>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1)"/>
      <w:numFmt w:val="decimal"/>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lvl w:ilvl="1">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1)"/>
      <w:numFmt w:val="decimal"/>
      <w:start w:val="1"/>
    </w:lvl>
  </w:abstractNum>
  <w:abstractNum w:abstractNumId="26">
    <w:nsid w:val="379E21B5"/>
    <w:multiLevelType w:val="hybridMultilevel"/>
    <w:lvl w:ilvl="0">
      <w:lvlJc w:val="left"/>
      <w:lvlText w:val="•"/>
      <w:numFmt w:val="bullet"/>
      <w:start w:val="1"/>
    </w:lvl>
    <w:lvl w:ilvl="1">
      <w:lvlJc w:val="left"/>
      <w:lvlText w:val="◦"/>
      <w:numFmt w:val="bullet"/>
      <w:start w:val="1"/>
    </w:lvl>
  </w:abstractNum>
  <w:abstractNum w:abstractNumId="27">
    <w:nsid w:val="69E373"/>
    <w:multiLevelType w:val="hybridMultilevel"/>
    <w:lvl w:ilvl="0">
      <w:lvlJc w:val="left"/>
      <w:lvlText w:val="•"/>
      <w:numFmt w:val="bullet"/>
      <w:start w:val="1"/>
    </w:lvl>
    <w:lvl w:ilvl="1">
      <w:lvlJc w:val="left"/>
      <w:lvlText w:val="◦"/>
      <w:numFmt w:val="bullet"/>
      <w:start w:val="1"/>
    </w:lvl>
  </w:abstractNum>
  <w:abstractNum w:abstractNumId="28">
    <w:nsid w:val="2C27173B"/>
    <w:multiLevelType w:val="hybridMultilevel"/>
    <w:lvl w:ilvl="0">
      <w:lvlJc w:val="left"/>
      <w:lvlText w:val="•"/>
      <w:numFmt w:val="bullet"/>
      <w:start w:val="1"/>
    </w:lvl>
    <w:lvl w:ilvl="1">
      <w:lvlJc w:val="left"/>
      <w:lvlText w:val="◦"/>
      <w:numFmt w:val="bullet"/>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1)"/>
      <w:numFmt w:val="decimal"/>
      <w:start w:val="1"/>
    </w:lvl>
  </w:abstractNum>
  <w:abstractNum w:abstractNumId="32">
    <w:nsid w:val="5675FF36"/>
    <w:multiLevelType w:val="hybridMultilevel"/>
    <w:lvl w:ilvl="0">
      <w:lvlJc w:val="left"/>
      <w:lvlText w:val="•"/>
      <w:numFmt w:val="bullet"/>
      <w:start w:val="1"/>
    </w:lvl>
    <w:lvl w:ilvl="1">
      <w:lvlJc w:val="left"/>
      <w:lvlText w:val="◦"/>
      <w:numFmt w:val="bullet"/>
      <w:start w:val="1"/>
    </w:lvl>
  </w:abstractNum>
  <w:abstractNum w:abstractNumId="33">
    <w:nsid w:val="3DD15094"/>
    <w:multiLevelType w:val="hybridMultilevel"/>
    <w:lvl w:ilvl="0">
      <w:lvlJc w:val="left"/>
      <w:lvlText w:val="•"/>
      <w:numFmt w:val="bullet"/>
      <w:start w:val="1"/>
    </w:lvl>
    <w:lvl w:ilvl="1">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1)"/>
      <w:numFmt w:val="decimal"/>
      <w:start w:val="1"/>
    </w:lvl>
  </w:abstractNum>
  <w:abstractNum w:abstractNumId="36">
    <w:nsid w:val="5B25ACE2"/>
    <w:multiLevelType w:val="hybridMultilevel"/>
    <w:lvl w:ilvl="0">
      <w:lvlJc w:val="left"/>
      <w:lvlText w:val="(%1)"/>
      <w:numFmt w:val="decimal"/>
      <w:start w:val="1"/>
    </w:lvl>
  </w:abstractNum>
  <w:abstractNum w:abstractNumId="37">
    <w:nsid w:val="175DFCF0"/>
    <w:multiLevelType w:val="hybridMultilevel"/>
    <w:lvl w:ilvl="0">
      <w:lvlJc w:val="left"/>
      <w:lvlText w:val="(%1)"/>
      <w:numFmt w:val="decimal"/>
      <w:start w:val="1"/>
    </w:lvl>
  </w:abstractNum>
  <w:abstractNum w:abstractNumId="38">
    <w:nsid w:val="4F97E3E4"/>
    <w:multiLevelType w:val="hybridMultilevel"/>
    <w:lvl w:ilvl="0">
      <w:lvlJc w:val="left"/>
      <w:lvlText w:val="*"/>
      <w:numFmt w:val="bullet"/>
      <w:start w:val="1"/>
    </w:lvl>
    <w:lvl w:ilvl="1">
      <w:lvlJc w:val="left"/>
      <w:lvlText w:val="%2"/>
      <w:numFmt w:val="decimal"/>
      <w:start w:val="104"/>
    </w:lvl>
  </w:abstractNum>
  <w:abstractNum w:abstractNumId="39">
    <w:nsid w:val="53B0A9E"/>
    <w:multiLevelType w:val="hybridMultilevel"/>
    <w:lvl w:ilvl="0">
      <w:lvlJc w:val="left"/>
      <w:lvlText w:val="**"/>
      <w:numFmt w:val="bullet"/>
      <w:start w:val="1"/>
    </w:lvl>
    <w:lvl w:ilvl="1">
      <w:lvlJc w:val="left"/>
      <w:lvlText w:val="%2"/>
      <w:numFmt w:val="decimal"/>
      <w:start w:val="1"/>
    </w:lvl>
  </w:abstractNum>
  <w:abstractNum w:abstractNumId="40">
    <w:nsid w:val="34FD6B4F"/>
    <w:multiLevelType w:val="hybridMultilevel"/>
    <w:lvl w:ilvl="0">
      <w:lvlJc w:val="left"/>
      <w:lvlText w:val="%1."/>
      <w:numFmt w:val="decimal"/>
      <w:start w:val="1"/>
    </w:lvl>
  </w:abstractNum>
  <w:abstractNum w:abstractNumId="41">
    <w:nsid w:val="5915FF32"/>
    <w:multiLevelType w:val="hybridMultilevel"/>
    <w:lvl w:ilvl="0">
      <w:lvlJc w:val="left"/>
      <w:lvlText w:val="%1."/>
      <w:numFmt w:val="decimal"/>
      <w:start w:val="3"/>
    </w:lvl>
  </w:abstractNum>
  <w:abstractNum w:abstractNumId="42">
    <w:nsid w:val="56438D15"/>
    <w:multiLevelType w:val="hybridMultilevel"/>
    <w:lvl w:ilvl="0">
      <w:lvlJc w:val="left"/>
      <w:lvlText w:val="(%1)"/>
      <w:numFmt w:val="lowerLetter"/>
      <w:start w:val="1"/>
    </w:lvl>
  </w:abstractNum>
  <w:abstractNum w:abstractNumId="43">
    <w:nsid w:val="519E3149"/>
    <w:multiLevelType w:val="hybridMultilevel"/>
    <w:lvl w:ilvl="0">
      <w:lvlJc w:val="left"/>
      <w:lvlText w:val="%1."/>
      <w:numFmt w:val="decimal"/>
      <w:start w:val="4"/>
    </w:lvl>
  </w:abstractNum>
  <w:abstractNum w:abstractNumId="44">
    <w:nsid w:val="2C6E4AFD"/>
    <w:multiLevelType w:val="hybridMultilevel"/>
    <w:lvl w:ilvl="0">
      <w:lvlJc w:val="left"/>
      <w:lvlText w:val="%1."/>
      <w:numFmt w:val="decimal"/>
      <w:start w:val="7"/>
    </w:lvl>
  </w:abstractNum>
  <w:abstractNum w:abstractNumId="45">
    <w:nsid w:val="17A1B582"/>
    <w:multiLevelType w:val="hybridMultilevel"/>
    <w:lvl w:ilvl="0">
      <w:lvlJc w:val="left"/>
      <w:lvlText w:val="(%1)"/>
      <w:numFmt w:val="lowerRoman"/>
      <w:start w:val="2"/>
    </w:lvl>
  </w:abstractNum>
  <w:abstractNum w:abstractNumId="46">
    <w:nsid w:val="4DF72E4E"/>
    <w:multiLevelType w:val="hybridMultilevel"/>
    <w:lvl w:ilvl="0">
      <w:lvlJc w:val="left"/>
      <w:lvlText w:val="(%1)"/>
      <w:numFmt w:val="lowerLetter"/>
      <w:start w:val="1"/>
    </w:lvl>
  </w:abstractNum>
  <w:abstractNum w:abstractNumId="47">
    <w:nsid w:val="5046B5A9"/>
    <w:multiLevelType w:val="hybridMultilevel"/>
    <w:lvl w:ilvl="0">
      <w:lvlJc w:val="left"/>
      <w:lvlText w:val="(%1)"/>
      <w:numFmt w:val="lowerLetter"/>
      <w:start w:val="1"/>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2"/>
    </w:lvl>
  </w:abstractNum>
  <w:abstractNum w:abstractNumId="50">
    <w:nsid w:val="5EC6AFD4"/>
    <w:multiLevelType w:val="hybridMultilevel"/>
    <w:lvl w:ilvl="0">
      <w:lvlJc w:val="left"/>
      <w:lvlText w:val="(%1)"/>
      <w:numFmt w:val="lowerRoman"/>
      <w:start w:val="3"/>
    </w:lvl>
  </w:abstractNum>
  <w:abstractNum w:abstractNumId="51">
    <w:nsid w:val="19E21BB2"/>
    <w:multiLevelType w:val="hybridMultilevel"/>
    <w:lvl w:ilvl="0">
      <w:lvlJc w:val="left"/>
      <w:lvlText w:val="(%1)"/>
      <w:numFmt w:val="lowerLetter"/>
      <w:start w:val="1"/>
    </w:lvl>
  </w:abstractNum>
  <w:abstractNum w:abstractNumId="52">
    <w:nsid w:val="75E0858A"/>
    <w:multiLevelType w:val="hybridMultilevel"/>
    <w:lvl w:ilvl="0">
      <w:lvlJc w:val="left"/>
      <w:lvlText w:val="(%1)"/>
      <w:numFmt w:val="lowerLetter"/>
      <w:start w:val="1"/>
    </w:lvl>
  </w:abstractNum>
  <w:abstractNum w:abstractNumId="53">
    <w:nsid w:val="57A61A29"/>
    <w:multiLevelType w:val="hybridMultilevel"/>
    <w:lvl w:ilvl="0">
      <w:lvlJc w:val="left"/>
      <w:lvlText w:val="§"/>
      <w:numFmt w:val="bullet"/>
      <w:start w:val="1"/>
    </w:lvl>
  </w:abstractNum>
  <w:abstractNum w:abstractNumId="54">
    <w:nsid w:val="5399C654"/>
    <w:multiLevelType w:val="hybridMultilevel"/>
    <w:lvl w:ilvl="0">
      <w:lvlJc w:val="left"/>
      <w:lvlText w:val="(%1)"/>
      <w:numFmt w:val="lowerRoman"/>
      <w:start w:val="1"/>
    </w:lvl>
  </w:abstractNum>
  <w:abstractNum w:abstractNumId="55">
    <w:nsid w:val="20EE1348"/>
    <w:multiLevelType w:val="hybridMultilevel"/>
    <w:lvl w:ilvl="0">
      <w:lvlJc w:val="left"/>
      <w:lvlText w:val="(%1)"/>
      <w:numFmt w:val="lowerLetter"/>
      <w:start w:val="2"/>
    </w:lvl>
  </w:abstractNum>
  <w:abstractNum w:abstractNumId="56">
    <w:nsid w:val="4427069A"/>
    <w:multiLevelType w:val="hybridMultilevel"/>
    <w:lvl w:ilvl="0">
      <w:lvlJc w:val="left"/>
      <w:lvlText w:val="(%1)"/>
      <w:numFmt w:val="decimal"/>
      <w:start w:val="3"/>
    </w:lvl>
  </w:abstractNum>
  <w:abstractNum w:abstractNumId="57">
    <w:nsid w:val="B37E80A"/>
    <w:multiLevelType w:val="hybridMultilevel"/>
    <w:lvl w:ilvl="0">
      <w:lvlJc w:val="left"/>
      <w:lvlText w:val="(%1)"/>
      <w:numFmt w:val="lowerLetter"/>
      <w:start w:val="1"/>
    </w:lvl>
  </w:abstractNum>
  <w:abstractNum w:abstractNumId="58">
    <w:nsid w:val="2157F6BC"/>
    <w:multiLevelType w:val="hybridMultilevel"/>
    <w:lvl w:ilvl="0">
      <w:lvlJc w:val="left"/>
      <w:lvlText w:val="(%1)"/>
      <w:numFmt w:val="lowerLetter"/>
      <w:start w:val="4"/>
    </w:lvl>
  </w:abstractNum>
  <w:abstractNum w:abstractNumId="59">
    <w:nsid w:val="704E1DD5"/>
    <w:multiLevelType w:val="hybridMultilevel"/>
    <w:lvl w:ilvl="0">
      <w:lvlJc w:val="left"/>
      <w:lvlText w:val="(%1)"/>
      <w:numFmt w:val="lowerLetter"/>
      <w:start w:val="1"/>
    </w:lvl>
  </w:abstractNum>
  <w:abstractNum w:abstractNumId="60">
    <w:nsid w:val="57D2F10E"/>
    <w:multiLevelType w:val="hybridMultilevel"/>
    <w:lvl w:ilvl="0">
      <w:lvlJc w:val="left"/>
      <w:lvlText w:val="(%1)"/>
      <w:numFmt w:val="lowerLetter"/>
      <w:start w:val="8"/>
    </w:lvl>
  </w:abstractNum>
  <w:abstractNum w:abstractNumId="61">
    <w:nsid w:val="BFFAE18"/>
    <w:multiLevelType w:val="hybridMultilevel"/>
    <w:lvl w:ilvl="0">
      <w:lvlJc w:val="left"/>
      <w:lvlText w:val="(%1)"/>
      <w:numFmt w:val="lowerLetter"/>
      <w:start w:val="1"/>
    </w:lvl>
  </w:abstractNum>
  <w:abstractNum w:abstractNumId="62">
    <w:nsid w:val="E3E47A8"/>
    <w:multiLevelType w:val="hybridMultilevel"/>
    <w:lvl w:ilvl="0">
      <w:lvlJc w:val="left"/>
      <w:lvlText w:val="(%1)"/>
      <w:numFmt w:val="lowerLetter"/>
      <w:start w:val="1"/>
    </w:lvl>
  </w:abstractNum>
  <w:abstractNum w:abstractNumId="63">
    <w:nsid w:val="2E48F044"/>
    <w:multiLevelType w:val="hybridMultilevel"/>
    <w:lvl w:ilvl="0">
      <w:lvlJc w:val="left"/>
      <w:lvlText w:val="(%1)"/>
      <w:numFmt w:val="lowerLetter"/>
      <w:start w:val="2"/>
    </w:lvl>
  </w:abstractNum>
  <w:abstractNum w:abstractNumId="64">
    <w:nsid w:val="49D0FEAC"/>
    <w:multiLevelType w:val="hybridMultilevel"/>
    <w:lvl w:ilvl="0">
      <w:lvlJc w:val="left"/>
      <w:lvlText w:val="(%1)"/>
      <w:numFmt w:val="lowerLetter"/>
      <w:start w:val="1"/>
    </w:lvl>
  </w:abstractNum>
  <w:abstractNum w:abstractNumId="65">
    <w:nsid w:val="4BEE5A5B"/>
    <w:multiLevelType w:val="hybridMultilevel"/>
    <w:lvl w:ilvl="0">
      <w:lvlJc w:val="left"/>
      <w:lvlText w:val="(%1)"/>
      <w:numFmt w:val="lowerLetter"/>
      <w:start w:val="3"/>
    </w:lvl>
  </w:abstractNum>
  <w:abstractNum w:abstractNumId="66">
    <w:nsid w:val="5551B9F3"/>
    <w:multiLevelType w:val="hybridMultilevel"/>
    <w:lvl w:ilvl="0">
      <w:lvlJc w:val="left"/>
      <w:lvlText w:val="(%1)"/>
      <w:numFmt w:val="lowerLetter"/>
      <w:start w:val="2"/>
    </w:lvl>
  </w:abstractNum>
  <w:abstractNum w:abstractNumId="67">
    <w:nsid w:val="24F6AB8E"/>
    <w:multiLevelType w:val="hybridMultilevel"/>
    <w:lvl w:ilvl="0">
      <w:lvlJc w:val="left"/>
      <w:lvlText w:val="(%1)"/>
      <w:numFmt w:val="lowerLetter"/>
      <w:start w:val="5"/>
    </w:lvl>
  </w:abstractNum>
  <w:abstractNum w:abstractNumId="68">
    <w:nsid w:val="634C574C"/>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9">
    <w:nsid w:val="24E99DD7"/>
    <w:multiLevelType w:val="hybridMultilevel"/>
    <w:lvl w:ilvl="0">
      <w:lvlJc w:val="left"/>
      <w:lvlText w:val="(%1)"/>
      <w:numFmt w:val="lowerLetter"/>
      <w:start w:val="1"/>
    </w:lvl>
  </w:abstractNum>
  <w:abstractNum w:abstractNumId="70">
    <w:nsid w:val="2A31B62D"/>
    <w:multiLevelType w:val="hybridMultilevel"/>
    <w:lvl w:ilvl="0">
      <w:lvlJc w:val="left"/>
      <w:lvlText w:val="(%1)"/>
      <w:numFmt w:val="lowerLetter"/>
      <w:start w:val="2"/>
    </w:lvl>
  </w:abstractNum>
  <w:abstractNum w:abstractNumId="71">
    <w:nsid w:val="1849C29B"/>
    <w:multiLevelType w:val="hybridMultilevel"/>
    <w:lvl w:ilvl="0">
      <w:lvlJc w:val="left"/>
      <w:lvlText w:val="(%1)"/>
      <w:numFmt w:val="lowerLetter"/>
      <w:start w:val="2"/>
    </w:lvl>
  </w:abstractNum>
  <w:abstractNum w:abstractNumId="72">
    <w:nsid w:val="7DFF9D09"/>
    <w:multiLevelType w:val="hybridMultilevel"/>
    <w:lvl w:ilvl="0">
      <w:lvlJc w:val="left"/>
      <w:lvlText w:val="(%1)"/>
      <w:numFmt w:val="lowerLetter"/>
      <w:start w:val="3"/>
    </w:lvl>
  </w:abstractNum>
  <w:abstractNum w:abstractNumId="73">
    <w:nsid w:val="754342"/>
    <w:multiLevelType w:val="hybridMultilevel"/>
    <w:lvl w:ilvl="0">
      <w:lvlJc w:val="left"/>
      <w:lvlText w:val="(%1)"/>
      <w:numFmt w:val="lowerLetter"/>
      <w:start w:val="6"/>
    </w:lvl>
  </w:abstractNum>
  <w:abstractNum w:abstractNumId="74">
    <w:nsid w:val="69E7F3E5"/>
    <w:multiLevelType w:val="hybridMultilevel"/>
    <w:lvl w:ilvl="0">
      <w:lvlJc w:val="left"/>
      <w:lvlText w:val="(%1)"/>
      <w:numFmt w:val="lowerLetter"/>
      <w:start w:val="7"/>
    </w:lvl>
  </w:abstractNum>
  <w:abstractNum w:abstractNumId="75">
    <w:nsid w:val="2A6DE806"/>
    <w:multiLevelType w:val="hybridMultilevel"/>
    <w:lvl w:ilvl="0">
      <w:lvlJc w:val="left"/>
      <w:lvlText w:val="%1"/>
      <w:numFmt w:val="lowerLetter"/>
      <w:start w:val="1"/>
    </w:lvl>
    <w:lvl w:ilvl="1">
      <w:lvlJc w:val="left"/>
      <w:lvlText w:val="(%2)"/>
      <w:numFmt w:val="lowerLetter"/>
      <w:start w:val="11"/>
    </w:lvl>
  </w:abstractNum>
  <w:abstractNum w:abstractNumId="76">
    <w:nsid w:val="1816F8C4"/>
    <w:multiLevelType w:val="hybridMultilevel"/>
    <w:lvl w:ilvl="0">
      <w:lvlJc w:val="left"/>
      <w:lvlText w:val="(%1)"/>
      <w:numFmt w:val="lowerLetter"/>
      <w:start w:val="61"/>
    </w:lvl>
    <w:lvl w:ilvl="1">
      <w:lvlJc w:val="left"/>
      <w:lvlText w:val="%2"/>
      <w:numFmt w:val="lowerLetter"/>
      <w:start w:val="1"/>
    </w:lvl>
  </w:abstractNum>
  <w:abstractNum w:abstractNumId="77">
    <w:nsid w:val="37DF2233"/>
    <w:multiLevelType w:val="hybridMultilevel"/>
    <w:lvl w:ilvl="0">
      <w:lvlJc w:val="left"/>
      <w:lvlText w:val="(%1)"/>
      <w:numFmt w:val="lowerLetter"/>
      <w:start w:val="12"/>
    </w:lvl>
  </w:abstractNum>
  <w:abstractNum w:abstractNumId="78">
    <w:nsid w:val="7AB49DAF"/>
    <w:multiLevelType w:val="hybridMultilevel"/>
    <w:lvl w:ilvl="0">
      <w:lvlJc w:val="left"/>
      <w:lvlText w:val="%1"/>
      <w:numFmt w:val="lowerLetter"/>
      <w:start w:val="1"/>
    </w:lvl>
    <w:lvl w:ilvl="1">
      <w:lvlJc w:val="left"/>
      <w:lvlText w:val="(%2)"/>
      <w:numFmt w:val="lowerLetter"/>
      <w:start w:val="2"/>
    </w:lvl>
  </w:abstractNum>
  <w:abstractNum w:abstractNumId="79">
    <w:nsid w:val="759F82CD"/>
    <w:multiLevelType w:val="hybridMultilevel"/>
    <w:lvl w:ilvl="0">
      <w:lvlJc w:val="left"/>
      <w:lvlText w:val="(%1)"/>
      <w:numFmt w:val="lowerLetter"/>
      <w:start w:val="1"/>
    </w:lvl>
    <w:lvl w:ilvl="1">
      <w:lvlJc w:val="left"/>
      <w:lvlText w:val="%2"/>
      <w:numFmt w:val="lowerLetter"/>
      <w:start w:val="1"/>
    </w:lvl>
  </w:abstractNum>
  <w:abstractNum w:abstractNumId="80">
    <w:nsid w:val="61E74EA3"/>
    <w:multiLevelType w:val="hybridMultilevel"/>
    <w:lvl w:ilvl="0">
      <w:lvlJc w:val="left"/>
      <w:lvlText w:val="(%1)"/>
      <w:numFmt w:val="lowerLetter"/>
      <w:start w:val="2"/>
    </w:lvl>
  </w:abstractNum>
  <w:abstractNum w:abstractNumId="81">
    <w:nsid w:val="597B4D84"/>
    <w:multiLevelType w:val="hybridMultilevel"/>
    <w:lvl w:ilvl="0">
      <w:lvlJc w:val="left"/>
      <w:lvlText w:val="(%1)"/>
      <w:numFmt w:val="lowerLetter"/>
      <w:start w:val="3"/>
    </w:lvl>
  </w:abstractNum>
  <w:abstractNum w:abstractNumId="82">
    <w:nsid w:val="F819E7F"/>
    <w:multiLevelType w:val="hybridMultilevel"/>
    <w:lvl w:ilvl="0">
      <w:lvlJc w:val="left"/>
      <w:lvlText w:val="(%1)"/>
      <w:numFmt w:val="lowerRoman"/>
      <w:start w:val="1"/>
    </w:lvl>
  </w:abstractNum>
  <w:abstractNum w:abstractNumId="83">
    <w:nsid w:val="57C7D42D"/>
    <w:multiLevelType w:val="hybridMultilevel"/>
    <w:lvl w:ilvl="0">
      <w:lvlJc w:val="left"/>
      <w:lvlText w:val="(%1)"/>
      <w:numFmt w:val="lowerRoman"/>
      <w:start w:val="4"/>
    </w:lvl>
  </w:abstractNum>
  <w:abstractNum w:abstractNumId="84">
    <w:nsid w:val="312167AD"/>
    <w:multiLevelType w:val="hybridMultilevel"/>
    <w:lvl w:ilvl="0">
      <w:lvlJc w:val="left"/>
      <w:lvlText w:val="(%1)"/>
      <w:numFmt w:val="lowerRoman"/>
      <w:start w:val="2"/>
    </w:lvl>
  </w:abstractNum>
  <w:abstractNum w:abstractNumId="85">
    <w:nsid w:val="631B64D4"/>
    <w:multiLevelType w:val="hybridMultilevel"/>
    <w:lvl w:ilvl="0">
      <w:lvlJc w:val="left"/>
      <w:lvlText w:val="(%1)"/>
      <w:numFmt w:val="lowerLetter"/>
      <w:start w:val="4"/>
    </w:lvl>
  </w:abstractNum>
  <w:abstractNum w:abstractNumId="86">
    <w:nsid w:val="78B5E776"/>
    <w:multiLevelType w:val="hybridMultilevel"/>
    <w:lvl w:ilvl="0">
      <w:lvlJc w:val="left"/>
      <w:lvlText w:val="(%1)"/>
      <w:numFmt w:val="lowerLetter"/>
      <w:start w:val="61"/>
    </w:lvl>
  </w:abstractNum>
  <w:abstractNum w:abstractNumId="87">
    <w:nsid w:val="75486E47"/>
    <w:multiLevelType w:val="hybridMultilevel"/>
    <w:lvl w:ilvl="0">
      <w:lvlJc w:val="left"/>
      <w:lvlText w:val="(%1)"/>
      <w:numFmt w:val="lowerLetter"/>
      <w:start w:val="2"/>
    </w:lvl>
  </w:abstractNum>
  <w:abstractNum w:abstractNumId="88">
    <w:nsid w:val="6E534CDE"/>
    <w:multiLevelType w:val="hybridMultilevel"/>
    <w:lvl w:ilvl="0">
      <w:lvlJc w:val="left"/>
      <w:lvlText w:val="(%1)"/>
      <w:numFmt w:val="lowerRoman"/>
      <w:start w:val="2"/>
    </w:lvl>
  </w:abstractNum>
  <w:abstractNum w:abstractNumId="89">
    <w:nsid w:val="1A0DDE32"/>
    <w:multiLevelType w:val="hybridMultilevel"/>
    <w:lvl w:ilvl="0">
      <w:lvlJc w:val="left"/>
      <w:lvlText w:val="(%1)"/>
      <w:numFmt w:val="lowerLetter"/>
      <w:start w:val="3"/>
    </w:lvl>
  </w:abstractNum>
  <w:abstractNum w:abstractNumId="90">
    <w:nsid w:val="65968C1C"/>
    <w:multiLevelType w:val="hybridMultilevel"/>
    <w:lvl w:ilvl="0">
      <w:lvlJc w:val="left"/>
      <w:lvlText w:val="(%1)"/>
      <w:numFmt w:val="lowerRoman"/>
      <w:start w:val="2"/>
    </w:lvl>
  </w:abstractNum>
  <w:abstractNum w:abstractNumId="91">
    <w:nsid w:val="46263DEC"/>
    <w:multiLevelType w:val="hybridMultilevel"/>
    <w:lvl w:ilvl="0">
      <w:lvlJc w:val="left"/>
      <w:lvlText w:val="(%1)"/>
      <w:numFmt w:val="lowerLetter"/>
      <w:start w:val="2"/>
    </w:lvl>
  </w:abstractNum>
  <w:abstractNum w:abstractNumId="92">
    <w:nsid w:val="260D8C4A"/>
    <w:multiLevelType w:val="hybridMultilevel"/>
    <w:lvl w:ilvl="0">
      <w:lvlJc w:val="left"/>
      <w:lvlText w:val="(%1)"/>
      <w:numFmt w:val="lowerLetter"/>
      <w:start w:val="3"/>
    </w:lvl>
  </w:abstractNum>
  <w:abstractNum w:abstractNumId="93">
    <w:nsid w:val="73D4D3C4"/>
    <w:multiLevelType w:val="hybridMultilevel"/>
    <w:lvl w:ilvl="0">
      <w:lvlJc w:val="left"/>
      <w:lvlText w:val="(%1)"/>
      <w:numFmt w:val="lowerLetter"/>
      <w:start w:val="1"/>
    </w:lvl>
  </w:abstractNum>
  <w:abstractNum w:abstractNumId="94">
    <w:nsid w:val="746F2E30"/>
    <w:multiLevelType w:val="hybridMultilevel"/>
    <w:lvl w:ilvl="0">
      <w:lvlJc w:val="left"/>
      <w:lvlText w:val="(%1)"/>
      <w:numFmt w:val="lowerLetter"/>
      <w:start w:val="2"/>
    </w:lvl>
  </w:abstractNum>
  <w:abstractNum w:abstractNumId="95">
    <w:nsid w:val="6FDE8AF6"/>
    <w:multiLevelType w:val="hybridMultilevel"/>
    <w:lvl w:ilvl="0">
      <w:lvlJc w:val="left"/>
      <w:lvlText w:val="(%1)"/>
      <w:numFmt w:val="lowerLetter"/>
      <w:start w:val="2"/>
    </w:lvl>
  </w:abstractNum>
  <w:abstractNum w:abstractNumId="96">
    <w:nsid w:val="3FC32E20"/>
    <w:multiLevelType w:val="hybridMultilevel"/>
    <w:lvl w:ilvl="0">
      <w:lvlJc w:val="left"/>
      <w:lvlText w:val="(%1)"/>
      <w:numFmt w:val="lowerLetter"/>
      <w:start w:val="3"/>
    </w:lvl>
  </w:abstractNum>
  <w:abstractNum w:abstractNumId="97">
    <w:nsid w:val="49C0E823"/>
    <w:multiLevelType w:val="hybridMultilevel"/>
    <w:lvl w:ilvl="0">
      <w:lvlJc w:val="left"/>
      <w:lvlText w:val="(%1)"/>
      <w:numFmt w:val="lowerLetter"/>
      <w:start w:val="2"/>
    </w:lvl>
  </w:abstractNum>
  <w:abstractNum w:abstractNumId="98">
    <w:nsid w:val="14D53685"/>
    <w:multiLevelType w:val="hybridMultilevel"/>
    <w:lvl w:ilvl="0">
      <w:lvlJc w:val="left"/>
      <w:lvlText w:val="(%1)"/>
      <w:numFmt w:val="lowerLetter"/>
      <w:start w:val="2"/>
    </w:lvl>
  </w:abstractNum>
  <w:abstractNum w:abstractNumId="99">
    <w:nsid w:val="230F856C"/>
    <w:multiLevelType w:val="hybridMultilevel"/>
    <w:lvl w:ilvl="0">
      <w:lvlJc w:val="left"/>
      <w:lvlText w:val="(%1)"/>
      <w:numFmt w:val="lowerRoman"/>
      <w:start w:val="1"/>
    </w:lvl>
  </w:abstractNum>
  <w:abstractNum w:abstractNumId="100">
    <w:nsid w:val="6EAA85FB"/>
    <w:multiLevelType w:val="hybridMultilevel"/>
    <w:lvl w:ilvl="0">
      <w:lvlJc w:val="left"/>
      <w:lvlText w:val="(%1)"/>
      <w:numFmt w:val="lowerRoman"/>
      <w:start w:val="3"/>
    </w:lvl>
  </w:abstractNum>
  <w:abstractNum w:abstractNumId="101">
    <w:nsid w:val="3F06ECB2"/>
    <w:multiLevelType w:val="hybridMultilevel"/>
    <w:lvl w:ilvl="0">
      <w:lvlJc w:val="left"/>
      <w:lvlText w:val="(%1)"/>
      <w:numFmt w:val="lowerRoman"/>
      <w:start w:val="1"/>
    </w:lvl>
  </w:abstractNum>
  <w:abstractNum w:abstractNumId="102">
    <w:nsid w:val="3B594807"/>
    <w:multiLevelType w:val="hybridMultilevel"/>
    <w:lvl w:ilvl="0">
      <w:lvlJc w:val="left"/>
      <w:lvlText w:val="%1"/>
      <w:numFmt w:val="upperLetter"/>
      <w:start w:val="1"/>
    </w:lvl>
    <w:lvl w:ilvl="1">
      <w:lvlJc w:val="left"/>
      <w:lvlText w:val="(%2)"/>
      <w:numFmt w:val="upperLetter"/>
      <w:start w:val="2"/>
    </w:lvl>
  </w:abstractNum>
  <w:abstractNum w:abstractNumId="103">
    <w:nsid w:val="6CAA2304"/>
    <w:multiLevelType w:val="hybridMultilevel"/>
    <w:lvl w:ilvl="0">
      <w:lvlJc w:val="left"/>
      <w:lvlText w:val="(%1)"/>
      <w:numFmt w:val="upperLetter"/>
      <w:start w:val="3"/>
    </w:lvl>
    <w:lvl w:ilvl="1">
      <w:lvlJc w:val="left"/>
      <w:lvlText w:val="%2"/>
      <w:numFmt w:val="upperLetter"/>
      <w:start w:val="1"/>
    </w:lvl>
  </w:abstractNum>
  <w:abstractNum w:abstractNumId="104">
    <w:nsid w:val="3F7C2FF4"/>
    <w:multiLevelType w:val="hybridMultilevel"/>
    <w:lvl w:ilvl="0">
      <w:lvlJc w:val="left"/>
      <w:lvlText w:val="(%1)"/>
      <w:numFmt w:val="lowerLetter"/>
      <w:start w:val="2"/>
    </w:lvl>
  </w:abstractNum>
  <w:abstractNum w:abstractNumId="105">
    <w:nsid w:val="25413BEC"/>
    <w:multiLevelType w:val="hybridMultilevel"/>
    <w:lvl w:ilvl="0">
      <w:lvlJc w:val="left"/>
      <w:lvlText w:val="(%1)"/>
      <w:numFmt w:val="lowerLetter"/>
      <w:start w:val="2"/>
    </w:lvl>
  </w:abstractNum>
  <w:abstractNum w:abstractNumId="106">
    <w:nsid w:val="17180B0B"/>
    <w:multiLevelType w:val="hybridMultilevel"/>
    <w:lvl w:ilvl="0">
      <w:lvlJc w:val="left"/>
      <w:lvlText w:val="(%1)"/>
      <w:numFmt w:val="lowerLetter"/>
      <w:start w:val="4"/>
    </w:lvl>
    <w:lvl w:ilvl="1">
      <w:lvlJc w:val="left"/>
      <w:lvlText w:val="(%2)"/>
      <w:numFmt w:val="lowerLetter"/>
      <w:start w:val="35"/>
    </w:lvl>
  </w:abstractNum>
  <w:abstractNum w:abstractNumId="107">
    <w:nsid w:val="579328B9"/>
    <w:multiLevelType w:val="hybridMultilevel"/>
    <w:lvl w:ilvl="0">
      <w:lvlJc w:val="left"/>
      <w:lvlText w:val="(%1)"/>
      <w:numFmt w:val="upperLetter"/>
      <w:start w:val="1"/>
    </w:lvl>
  </w:abstractNum>
  <w:abstractNum w:abstractNumId="108">
    <w:nsid w:val="5D205E20"/>
    <w:multiLevelType w:val="hybridMultilevel"/>
    <w:lvl w:ilvl="0">
      <w:lvlJc w:val="left"/>
      <w:lvlText w:val="(%1)"/>
      <w:numFmt w:val="decimal"/>
      <w:start w:val="1"/>
    </w:lvl>
  </w:abstractNum>
  <w:abstractNum w:abstractNumId="109">
    <w:nsid w:val="11CCA8BA"/>
    <w:multiLevelType w:val="hybridMultilevel"/>
    <w:lvl w:ilvl="0">
      <w:lvlJc w:val="left"/>
      <w:lvlText w:val="%1"/>
      <w:numFmt w:val="decimal"/>
      <w:start w:val="1"/>
    </w:lvl>
    <w:lvl w:ilvl="1">
      <w:lvlJc w:val="left"/>
      <w:lvlText w:val="(%2)"/>
      <w:numFmt w:val="decimal"/>
      <w:start w:val="2"/>
    </w:lvl>
  </w:abstractNum>
  <w:abstractNum w:abstractNumId="110">
    <w:nsid w:val="4D32AB86"/>
    <w:multiLevelType w:val="hybridMultilevel"/>
    <w:lvl w:ilvl="0">
      <w:lvlJc w:val="left"/>
      <w:lvlText w:val="(%1)"/>
      <w:numFmt w:val="decimal"/>
      <w:start w:val="3"/>
    </w:lvl>
    <w:lvl w:ilvl="1">
      <w:lvlJc w:val="left"/>
      <w:lvlText w:val="%2"/>
      <w:numFmt w:val="decimal"/>
      <w:start w:val="1"/>
    </w:lvl>
  </w:abstractNum>
  <w:abstractNum w:abstractNumId="111">
    <w:nsid w:val="3F07ACC3"/>
    <w:multiLevelType w:val="hybridMultilevel"/>
    <w:lvl w:ilvl="0">
      <w:lvlJc w:val="left"/>
      <w:lvlText w:val="(%1)"/>
      <w:numFmt w:val="upperLetter"/>
      <w:start w:val="3"/>
    </w:lvl>
  </w:abstractNum>
  <w:abstractNum w:abstractNumId="112">
    <w:nsid w:val="6B47F63E"/>
    <w:multiLevelType w:val="hybridMultilevel"/>
    <w:lvl w:ilvl="0">
      <w:lvlJc w:val="left"/>
      <w:lvlText w:val="(%1)"/>
      <w:numFmt w:val="lowerLetter"/>
      <w:start w:val="7"/>
    </w:lvl>
  </w:abstractNum>
  <w:abstractNum w:abstractNumId="113">
    <w:nsid w:val="5CB44A05"/>
    <w:multiLevelType w:val="hybridMultilevel"/>
    <w:lvl w:ilvl="0">
      <w:lvlJc w:val="left"/>
      <w:lvlText w:val="(%1)"/>
      <w:numFmt w:val="lowerLetter"/>
      <w:start w:val="8"/>
    </w:lvl>
  </w:abstractNum>
  <w:abstractNum w:abstractNumId="114">
    <w:nsid w:val="16CF80F1"/>
    <w:multiLevelType w:val="hybridMultilevel"/>
    <w:lvl w:ilvl="0">
      <w:lvlJc w:val="left"/>
      <w:lvlText w:val="(%1)"/>
      <w:numFmt w:val="lowerLetter"/>
      <w:start w:val="1"/>
    </w:lvl>
    <w:lvl w:ilvl="1">
      <w:lvlJc w:val="left"/>
      <w:lvlText w:val="(%2)"/>
      <w:numFmt w:val="lowerLetter"/>
      <w:start w:val="3"/>
    </w:lvl>
  </w:abstractNum>
  <w:abstractNum w:abstractNumId="115">
    <w:nsid w:val="1C695DEC"/>
    <w:multiLevelType w:val="hybridMultilevel"/>
    <w:lvl w:ilvl="0">
      <w:lvlJc w:val="left"/>
      <w:lvlText w:val="(%1)"/>
      <w:numFmt w:val="lowerLetter"/>
      <w:start w:val="4"/>
    </w:lvl>
  </w:abstractNum>
  <w:abstractNum w:abstractNumId="116">
    <w:nsid w:val="3FCFAED9"/>
    <w:multiLevelType w:val="hybridMultilevel"/>
    <w:lvl w:ilvl="0">
      <w:lvlJc w:val="left"/>
      <w:lvlText w:val="(%1)"/>
      <w:numFmt w:val="lowerLetter"/>
      <w:start w:val="5"/>
    </w:lvl>
  </w:abstractNum>
  <w:abstractNum w:abstractNumId="117">
    <w:nsid w:val="F856867"/>
    <w:multiLevelType w:val="hybridMultilevel"/>
    <w:lvl w:ilvl="0">
      <w:lvlJc w:val="left"/>
      <w:lvlText w:val="(%1)"/>
      <w:numFmt w:val="lowerRoman"/>
      <w:start w:val="2"/>
    </w:lvl>
  </w:abstractNum>
  <w:abstractNum w:abstractNumId="118">
    <w:nsid w:val="11B1CC33"/>
    <w:multiLevelType w:val="hybridMultilevel"/>
    <w:lvl w:ilvl="0">
      <w:lvlJc w:val="left"/>
      <w:lvlText w:val="(%1)"/>
      <w:numFmt w:val="lowerLetter"/>
      <w:start w:val="6"/>
    </w:lvl>
  </w:abstractNum>
  <w:abstractNum w:abstractNumId="119">
    <w:nsid w:val="2E22FBB7"/>
    <w:multiLevelType w:val="hybridMultilevel"/>
    <w:lvl w:ilvl="0">
      <w:lvlJc w:val="left"/>
      <w:lvlText w:val="(%1)"/>
      <w:numFmt w:val="lowerRoman"/>
      <w:start w:val="2"/>
    </w:lvl>
  </w:abstractNum>
  <w:abstractNum w:abstractNumId="120">
    <w:nsid w:val="29934699"/>
    <w:multiLevelType w:val="hybridMultilevel"/>
    <w:lvl w:ilvl="0">
      <w:lvlJc w:val="left"/>
      <w:lvlText w:val="(%1)"/>
      <w:numFmt w:val="lowerRoman"/>
      <w:start w:val="2"/>
    </w:lvl>
  </w:abstractNum>
  <w:abstractNum w:abstractNumId="121">
    <w:nsid w:val="77485850"/>
    <w:multiLevelType w:val="hybridMultilevel"/>
    <w:lvl w:ilvl="0">
      <w:lvlJc w:val="left"/>
      <w:lvlText w:val="(%1)"/>
      <w:numFmt w:val="lowerLetter"/>
      <w:start w:val="2"/>
    </w:lvl>
  </w:abstractNum>
  <w:abstractNum w:abstractNumId="122">
    <w:nsid w:val="744939A3"/>
    <w:multiLevelType w:val="hybridMultilevel"/>
    <w:lvl w:ilvl="0">
      <w:lvlJc w:val="left"/>
      <w:lvlText w:val="(%1)"/>
      <w:numFmt w:val="lowerRoman"/>
      <w:start w:val="10"/>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Letter"/>
      <w:start w:val="2"/>
    </w:lvl>
  </w:abstractNum>
  <w:abstractNum w:abstractNumId="125">
    <w:nsid w:val="68B867D3"/>
    <w:multiLevelType w:val="hybridMultilevel"/>
    <w:lvl w:ilvl="0">
      <w:lvlJc w:val="left"/>
      <w:lvlText w:val="(%1)"/>
      <w:numFmt w:val="lowerRoman"/>
      <w:start w:val="1"/>
    </w:lvl>
  </w:abstractNum>
  <w:abstractNum w:abstractNumId="126">
    <w:nsid w:val="3F7F5DD9"/>
    <w:multiLevelType w:val="hybridMultilevel"/>
    <w:lvl w:ilvl="0">
      <w:lvlJc w:val="left"/>
      <w:lvlText w:val="%1"/>
      <w:numFmt w:val="lowerRoman"/>
      <w:start w:val="1"/>
    </w:lvl>
    <w:lvl w:ilvl="1">
      <w:lvlJc w:val="left"/>
      <w:lvlText w:val="(%2)"/>
      <w:numFmt w:val="lowerRoman"/>
      <w:start w:val="2"/>
    </w:lvl>
  </w:abstractNum>
  <w:abstractNum w:abstractNumId="127">
    <w:nsid w:val="2AE05A34"/>
    <w:multiLevelType w:val="hybridMultilevel"/>
    <w:lvl w:ilvl="0">
      <w:lvlJc w:val="left"/>
      <w:lvlText w:val="(%1)"/>
      <w:numFmt w:val="lowerRoman"/>
      <w:start w:val="2"/>
    </w:lvl>
    <w:lvl w:ilvl="1">
      <w:lvlJc w:val="left"/>
      <w:lvlText w:val="%2"/>
      <w:numFmt w:val="lowerRoman"/>
      <w:start w:val="1"/>
    </w:lvl>
  </w:abstractNum>
  <w:abstractNum w:abstractNumId="128">
    <w:nsid w:val="32794FF7"/>
    <w:multiLevelType w:val="hybridMultilevel"/>
    <w:lvl w:ilvl="0">
      <w:lvlJc w:val="left"/>
      <w:lvlText w:val="(%1)"/>
      <w:numFmt w:val="lowerLetter"/>
      <w:start w:val="4"/>
    </w:lvl>
  </w:abstractNum>
  <w:abstractNum w:abstractNumId="129">
    <w:nsid w:val="5454945E"/>
    <w:multiLevelType w:val="hybridMultilevel"/>
    <w:lvl w:ilvl="0">
      <w:lvlJc w:val="left"/>
      <w:lvlText w:val="(%1)"/>
      <w:numFmt w:val="lowerLetter"/>
      <w:start w:val="1"/>
    </w:lvl>
  </w:abstractNum>
  <w:abstractNum w:abstractNumId="130">
    <w:nsid w:val="4DEFDFA0"/>
    <w:multiLevelType w:val="hybridMultilevel"/>
    <w:lvl w:ilvl="0">
      <w:lvlJc w:val="left"/>
      <w:lvlText w:val="%1"/>
      <w:numFmt w:val="lowerLetter"/>
      <w:start w:val="1"/>
    </w:lvl>
    <w:lvl w:ilvl="1">
      <w:lvlJc w:val="left"/>
      <w:lvlText w:val="(%2)"/>
      <w:numFmt w:val="lowerLetter"/>
      <w:start w:val="5"/>
    </w:lvl>
  </w:abstractNum>
  <w:abstractNum w:abstractNumId="131">
    <w:nsid w:val="2123D5F2"/>
    <w:multiLevelType w:val="hybridMultilevel"/>
    <w:lvl w:ilvl="0">
      <w:lvlJc w:val="left"/>
      <w:lvlText w:val="(%1)"/>
      <w:numFmt w:val="lowerLetter"/>
      <w:start w:val="6"/>
    </w:lvl>
    <w:lvl w:ilvl="1">
      <w:lvlJc w:val="left"/>
      <w:lvlText w:val="%2"/>
      <w:numFmt w:val="lowerLetter"/>
      <w:start w:val="1"/>
    </w:lvl>
  </w:abstractNum>
  <w:abstractNum w:abstractNumId="132">
    <w:nsid w:val="135B8110"/>
    <w:multiLevelType w:val="hybridMultilevel"/>
    <w:lvl w:ilvl="0">
      <w:lvlJc w:val="left"/>
      <w:lvlText w:val="(%1)"/>
      <w:numFmt w:val="lowerRoman"/>
      <w:start w:val="1"/>
    </w:lvl>
  </w:abstractNum>
  <w:abstractNum w:abstractNumId="133">
    <w:nsid w:val="94927A8"/>
    <w:multiLevelType w:val="hybridMultilevel"/>
    <w:lvl w:ilvl="0">
      <w:lvlJc w:val="left"/>
      <w:lvlText w:val="(%1)"/>
      <w:numFmt w:val="lowerLetter"/>
      <w:start w:val="7"/>
    </w:lvl>
  </w:abstractNum>
  <w:abstractNum w:abstractNumId="134">
    <w:nsid w:val="DCDF8F6"/>
    <w:multiLevelType w:val="hybridMultilevel"/>
    <w:lvl w:ilvl="0">
      <w:lvlJc w:val="left"/>
      <w:lvlText w:val="(%1)"/>
      <w:numFmt w:val="lowerLetter"/>
      <w:start w:val="8"/>
    </w:lvl>
  </w:abstractNum>
  <w:abstractNum w:abstractNumId="135">
    <w:nsid w:val="52D7B105"/>
    <w:multiLevelType w:val="hybridMultilevel"/>
    <w:lvl w:ilvl="0">
      <w:lvlJc w:val="left"/>
      <w:lvlText w:val="(%1)"/>
      <w:numFmt w:val="lowerLetter"/>
      <w:start w:val="1"/>
    </w:lvl>
  </w:abstractNum>
  <w:abstractNum w:abstractNumId="136">
    <w:nsid w:val="2E8A6394"/>
    <w:multiLevelType w:val="hybridMultilevel"/>
    <w:lvl w:ilvl="0">
      <w:lvlJc w:val="left"/>
      <w:lvlText w:val="(%1)"/>
      <w:numFmt w:val="lowerRoman"/>
      <w:start w:val="1"/>
    </w:lvl>
  </w:abstractNum>
  <w:abstractNum w:abstractNumId="137">
    <w:nsid w:val="24E60401"/>
    <w:multiLevelType w:val="hybridMultilevel"/>
    <w:lvl w:ilvl="0">
      <w:lvlJc w:val="left"/>
      <w:lvlText w:val="(%1)"/>
      <w:numFmt w:val="lowerLetter"/>
      <w:start w:val="2"/>
    </w:lvl>
  </w:abstractNum>
  <w:abstractNum w:abstractNumId="138">
    <w:nsid w:val="2A6AD9BE"/>
    <w:multiLevelType w:val="hybridMultilevel"/>
    <w:lvl w:ilvl="0">
      <w:lvlJc w:val="left"/>
      <w:lvlText w:val="(%1)"/>
      <w:numFmt w:val="lowerLetter"/>
      <w:start w:val="2"/>
    </w:lvl>
  </w:abstractNum>
  <w:abstractNum w:abstractNumId="139">
    <w:nsid w:val="BAAC1B4"/>
    <w:multiLevelType w:val="hybridMultilevel"/>
    <w:lvl w:ilvl="0">
      <w:lvlJc w:val="left"/>
      <w:lvlText w:val="(%1)"/>
      <w:numFmt w:val="lowerLetter"/>
      <w:start w:val="4"/>
    </w:lvl>
  </w:abstractNum>
  <w:abstractNum w:abstractNumId="140">
    <w:nsid w:val="36B2ACBC"/>
    <w:multiLevelType w:val="hybridMultilevel"/>
    <w:lvl w:ilvl="0">
      <w:lvlJc w:val="left"/>
      <w:lvlText w:val="(%1)"/>
      <w:numFmt w:val="lowerLetter"/>
      <w:start w:val="2"/>
    </w:lvl>
  </w:abstractNum>
  <w:abstractNum w:abstractNumId="141">
    <w:nsid w:val="779D8544"/>
    <w:multiLevelType w:val="hybridMultilevel"/>
    <w:lvl w:ilvl="0">
      <w:lvlJc w:val="left"/>
      <w:lvlText w:val="(%1)"/>
      <w:numFmt w:val="lowerLetter"/>
      <w:start w:val="2"/>
    </w:lvl>
  </w:abstractNum>
  <w:abstractNum w:abstractNumId="142">
    <w:nsid w:val="4AB26E78"/>
    <w:multiLevelType w:val="hybridMultilevel"/>
    <w:lvl w:ilvl="0">
      <w:lvlJc w:val="left"/>
      <w:lvlText w:val="(%1)"/>
      <w:numFmt w:val="lowerRoman"/>
      <w:start w:val="1"/>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2"/>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1"/>
    </w:lvl>
  </w:abstractNum>
  <w:abstractNum w:abstractNumId="147">
    <w:nsid w:val="14217E23"/>
    <w:multiLevelType w:val="hybridMultilevel"/>
    <w:lvl w:ilvl="0">
      <w:lvlJc w:val="left"/>
      <w:lvlText w:val="(%1)"/>
      <w:numFmt w:val="lowerLetter"/>
      <w:start w:val="1"/>
    </w:lvl>
  </w:abstractNum>
  <w:abstractNum w:abstractNumId="148">
    <w:nsid w:val="710757D0"/>
    <w:multiLevelType w:val="hybridMultilevel"/>
    <w:lvl w:ilvl="0">
      <w:lvlJc w:val="left"/>
      <w:lvlText w:val="(%1)"/>
      <w:numFmt w:val="lowerLetter"/>
      <w:start w:val="1"/>
    </w:lvl>
  </w:abstractNum>
  <w:abstractNum w:abstractNumId="149">
    <w:nsid w:val="5015CD1A"/>
    <w:multiLevelType w:val="hybridMultilevel"/>
    <w:lvl w:ilvl="0">
      <w:lvlJc w:val="left"/>
      <w:lvlText w:val="(%1)"/>
      <w:numFmt w:val="lowerLetter"/>
      <w:start w:val="1"/>
    </w:lvl>
  </w:abstractNum>
  <w:abstractNum w:abstractNumId="150">
    <w:nsid w:val="424479DA"/>
    <w:multiLevelType w:val="hybridMultilevel"/>
    <w:lvl w:ilvl="0">
      <w:lvlJc w:val="left"/>
      <w:lvlText w:val="(%1)"/>
      <w:numFmt w:val="lowerLetter"/>
      <w:start w:val="6"/>
    </w:lvl>
  </w:abstractNum>
  <w:abstractNum w:abstractNumId="151">
    <w:nsid w:val="1A9A9E69"/>
    <w:multiLevelType w:val="hybridMultilevel"/>
    <w:lvl w:ilvl="0">
      <w:lvlJc w:val="left"/>
      <w:lvlText w:val="(%1)"/>
      <w:numFmt w:val="lowerLetter"/>
      <w:start w:val="1"/>
    </w:lvl>
  </w:abstractNum>
  <w:abstractNum w:abstractNumId="152">
    <w:nsid w:val="475E256A"/>
    <w:multiLevelType w:val="hybridMultilevel"/>
    <w:lvl w:ilvl="0">
      <w:lvlJc w:val="left"/>
      <w:lvlText w:val="(%1)"/>
      <w:numFmt w:val="lowerRoman"/>
      <w:start w:val="2"/>
    </w:lvl>
  </w:abstractNum>
  <w:abstractNum w:abstractNumId="153">
    <w:nsid w:val="368DB37E"/>
    <w:multiLevelType w:val="hybridMultilevel"/>
    <w:lvl w:ilvl="0">
      <w:lvlJc w:val="left"/>
      <w:lvlText w:val="(%1)"/>
      <w:numFmt w:val="lowerLetter"/>
      <w:start w:val="1"/>
    </w:lvl>
  </w:abstractNum>
  <w:abstractNum w:abstractNumId="154">
    <w:nsid w:val="6A3B714C"/>
    <w:multiLevelType w:val="hybridMultilevel"/>
    <w:lvl w:ilvl="0">
      <w:lvlJc w:val="left"/>
      <w:lvlText w:val="(%1)"/>
      <w:numFmt w:val="lowerLetter"/>
      <w:start w:val="1"/>
    </w:lvl>
  </w:abstractNum>
  <w:abstractNum w:abstractNumId="155">
    <w:nsid w:val="327B517E"/>
    <w:multiLevelType w:val="hybridMultilevel"/>
    <w:lvl w:ilvl="0">
      <w:lvlJc w:val="left"/>
      <w:lvlText w:val="(%1)"/>
      <w:numFmt w:val="lowerLetter"/>
      <w:start w:val="7"/>
    </w:lvl>
  </w:abstractNum>
  <w:abstractNum w:abstractNumId="156">
    <w:nsid w:val="1F461B51"/>
    <w:multiLevelType w:val="hybridMultilevel"/>
    <w:lvl w:ilvl="0">
      <w:lvlJc w:val="left"/>
      <w:lvlText w:val="(%1)"/>
      <w:numFmt w:val="lowerLetter"/>
      <w:start w:val="18"/>
    </w:lvl>
  </w:abstractNum>
  <w:abstractNum w:abstractNumId="157">
    <w:nsid w:val="29BACF25"/>
    <w:multiLevelType w:val="hybridMultilevel"/>
    <w:lvl w:ilvl="0">
      <w:lvlJc w:val="left"/>
      <w:lvlText w:val="(%1)"/>
      <w:numFmt w:val="lowerLetter"/>
      <w:start w:val="1"/>
    </w:lvl>
  </w:abstractNum>
  <w:abstractNum w:abstractNumId="158">
    <w:nsid w:val="5D5BABB3"/>
    <w:multiLevelType w:val="hybridMultilevel"/>
    <w:lvl w:ilvl="0">
      <w:lvlJc w:val="left"/>
      <w:lvlText w:val="(%1)"/>
      <w:numFmt w:val="lowerLetter"/>
      <w:start w:val="9"/>
    </w:lvl>
  </w:abstractNum>
  <w:abstractNum w:abstractNumId="159">
    <w:nsid w:val="51BF6B48"/>
    <w:multiLevelType w:val="hybridMultilevel"/>
    <w:lvl w:ilvl="0">
      <w:lvlJc w:val="left"/>
      <w:lvlText w:val="(%1)"/>
      <w:numFmt w:val="lowerLetter"/>
      <w:start w:val="2"/>
    </w:lvl>
  </w:abstractNum>
  <w:abstractNum w:abstractNumId="160">
    <w:nsid w:val="7E0F6384"/>
    <w:multiLevelType w:val="hybridMultilevel"/>
    <w:lvl w:ilvl="0">
      <w:lvlJc w:val="left"/>
      <w:lvlText w:val="(%1)"/>
      <w:numFmt w:val="lowerLetter"/>
      <w:start w:val="1"/>
    </w:lvl>
  </w:abstractNum>
  <w:abstractNum w:abstractNumId="161">
    <w:nsid w:val="2B4B8B53"/>
    <w:multiLevelType w:val="hybridMultilevel"/>
    <w:lvl w:ilvl="0">
      <w:lvlJc w:val="left"/>
      <w:lvlText w:val="(%1)"/>
      <w:numFmt w:val="lowerRoman"/>
      <w:start w:val="1"/>
    </w:lvl>
  </w:abstractNum>
  <w:abstractNum w:abstractNumId="162">
    <w:nsid w:val="72E3413A"/>
    <w:multiLevelType w:val="hybridMultilevel"/>
    <w:lvl w:ilvl="0">
      <w:lvlJc w:val="left"/>
      <w:lvlText w:val="(%1)"/>
      <w:numFmt w:val="lowerLetter"/>
      <w:start w:val="12"/>
    </w:lvl>
  </w:abstractNum>
  <w:abstractNum w:abstractNumId="163">
    <w:nsid w:val="116AE494"/>
    <w:multiLevelType w:val="hybridMultilevel"/>
    <w:lvl w:ilvl="0">
      <w:lvlJc w:val="left"/>
      <w:lvlText w:val="(%1)"/>
      <w:numFmt w:val="lowerLetter"/>
      <w:start w:val="2"/>
    </w:lvl>
  </w:abstractNum>
  <w:abstractNum w:abstractNumId="164">
    <w:nsid w:val="3494B2FB"/>
    <w:multiLevelType w:val="hybridMultilevel"/>
    <w:lvl w:ilvl="0">
      <w:lvlJc w:val="left"/>
      <w:lvlText w:val="%1"/>
      <w:numFmt w:val="lowerLetter"/>
      <w:start w:val="1"/>
    </w:lvl>
    <w:lvl w:ilvl="1">
      <w:lvlJc w:val="left"/>
      <w:lvlText w:val="(%2)"/>
      <w:numFmt w:val="lowerLetter"/>
      <w:start w:val="1"/>
    </w:lvl>
  </w:abstractNum>
  <w:abstractNum w:abstractNumId="165">
    <w:nsid w:val="B13A31"/>
    <w:multiLevelType w:val="hybridMultilevel"/>
    <w:lvl w:ilvl="0">
      <w:lvlJc w:val="left"/>
      <w:lvlText w:val="(%1)"/>
      <w:numFmt w:val="lowerLetter"/>
      <w:start w:val="1"/>
    </w:lvl>
    <w:lvl w:ilvl="1">
      <w:lvlJc w:val="left"/>
      <w:lvlText w:val="(%2)"/>
      <w:numFmt w:val="lowerLetter"/>
      <w:start w:val="3"/>
    </w:lvl>
  </w:abstractNum>
  <w:abstractNum w:abstractNumId="166">
    <w:nsid w:val="64429599"/>
    <w:multiLevelType w:val="hybridMultilevel"/>
    <w:lvl w:ilvl="0">
      <w:lvlJc w:val="left"/>
      <w:lvlText w:val="(%1)"/>
      <w:numFmt w:val="lowerLetter"/>
      <w:start w:val="9"/>
    </w:lvl>
  </w:abstractNum>
  <w:abstractNum w:abstractNumId="167">
    <w:nsid w:val="631F1690"/>
    <w:multiLevelType w:val="hybridMultilevel"/>
    <w:lvl w:ilvl="0">
      <w:lvlJc w:val="left"/>
      <w:lvlText w:val="(%1)"/>
      <w:numFmt w:val="lowerLetter"/>
      <w:start w:val="61"/>
    </w:lvl>
  </w:abstractNum>
  <w:abstractNum w:abstractNumId="168">
    <w:nsid w:val="25973E32"/>
    <w:multiLevelType w:val="hybridMultilevel"/>
    <w:lvl w:ilvl="0">
      <w:lvlJc w:val="left"/>
      <w:lvlText w:val="(%1)"/>
      <w:numFmt w:val="lowerLetter"/>
      <w:start w:val="10"/>
    </w:lvl>
  </w:abstractNum>
  <w:abstractNum w:abstractNumId="169">
    <w:nsid w:val="EAD6F57"/>
    <w:multiLevelType w:val="hybridMultilevel"/>
    <w:lvl w:ilvl="0">
      <w:lvlJc w:val="left"/>
      <w:lvlText w:val="(%1)"/>
      <w:numFmt w:val="lowerLetter"/>
      <w:start w:val="25"/>
    </w:lvl>
  </w:abstractNum>
  <w:abstractNum w:abstractNumId="170">
    <w:nsid w:val="6EC9D844"/>
    <w:multiLevelType w:val="hybridMultilevel"/>
    <w:lvl w:ilvl="0">
      <w:lvlJc w:val="left"/>
      <w:lvlText w:val="(%1)"/>
      <w:numFmt w:val="lowerRoman"/>
      <w:start w:val="5"/>
    </w:lvl>
  </w:abstractNum>
  <w:abstractNum w:abstractNumId="171">
    <w:nsid w:val="5C49EAEE"/>
    <w:multiLevelType w:val="hybridMultilevel"/>
    <w:lvl w:ilvl="0">
      <w:lvlJc w:val="left"/>
      <w:lvlText w:val="(%1)"/>
      <w:numFmt w:val="lowerLetter"/>
      <w:start w:val="8"/>
    </w:lvl>
  </w:abstractNum>
  <w:abstractNum w:abstractNumId="172">
    <w:nsid w:val="64AF49B"/>
    <w:multiLevelType w:val="hybridMultilevel"/>
    <w:lvl w:ilvl="0">
      <w:lvlJc w:val="left"/>
      <w:lvlText w:val="%1"/>
      <w:numFmt w:val="decimal"/>
      <w:start w:val="1"/>
    </w:lvl>
    <w:lvl w:ilvl="1">
      <w:lvlJc w:val="left"/>
      <w:lvlText w:val="(%2)"/>
      <w:numFmt w:val="lowerRoman"/>
      <w:start w:val="1"/>
    </w:lvl>
  </w:abstractNum>
  <w:abstractNum w:abstractNumId="173">
    <w:nsid w:val="397C46BC"/>
    <w:multiLevelType w:val="hybridMultilevel"/>
    <w:lvl w:ilvl="0">
      <w:lvlJc w:val="left"/>
      <w:lvlText w:val="(%1)"/>
      <w:numFmt w:val="decimal"/>
      <w:start w:val="212"/>
    </w:lvl>
    <w:lvl w:ilvl="1">
      <w:lvlJc w:val="left"/>
      <w:lvlText w:val="(%2)"/>
      <w:numFmt w:val="lowerRoman"/>
      <w:start w:val="2"/>
    </w:lvl>
  </w:abstractNum>
  <w:abstractNum w:abstractNumId="174">
    <w:nsid w:val="7E448DE9"/>
    <w:multiLevelType w:val="hybridMultilevel"/>
    <w:lvl w:ilvl="0">
      <w:lvlJc w:val="left"/>
      <w:lvlText w:val="%1"/>
      <w:numFmt w:val="upperLetter"/>
      <w:start w:val="1"/>
    </w:lvl>
    <w:lvl w:ilvl="1">
      <w:lvlJc w:val="left"/>
      <w:lvlText w:val="(%2)"/>
      <w:numFmt w:val="lowerLetter"/>
      <w:start w:val="2"/>
    </w:lvl>
  </w:abstractNum>
  <w:abstractNum w:abstractNumId="175">
    <w:nsid w:val="5A9CC3E5"/>
    <w:multiLevelType w:val="hybridMultilevel"/>
    <w:lvl w:ilvl="0">
      <w:lvlJc w:val="left"/>
      <w:lvlText w:val="(%1)"/>
      <w:numFmt w:val="lowerLetter"/>
      <w:start w:val="3"/>
    </w:lvl>
  </w:abstractNum>
  <w:abstractNum w:abstractNumId="176">
    <w:nsid w:val="1AFE3625"/>
    <w:multiLevelType w:val="hybridMultilevel"/>
    <w:lvl w:ilvl="0">
      <w:lvlJc w:val="left"/>
      <w:lvlText w:val="(%1)"/>
      <w:numFmt w:val="lowerRoman"/>
      <w:start w:val="1"/>
    </w:lvl>
  </w:abstractNum>
  <w:abstractNum w:abstractNumId="177">
    <w:nsid w:val="3CA88ECF"/>
    <w:multiLevelType w:val="hybridMultilevel"/>
    <w:lvl w:ilvl="0">
      <w:lvlJc w:val="left"/>
      <w:lvlText w:val="(%1)"/>
      <w:numFmt w:val="lowerRoman"/>
      <w:start w:val="2"/>
    </w:lvl>
  </w:abstractNum>
  <w:abstractNum w:abstractNumId="178">
    <w:nsid w:val="6EBE4208"/>
    <w:multiLevelType w:val="hybridMultilevel"/>
    <w:lvl w:ilvl="0">
      <w:lvlJc w:val="left"/>
      <w:lvlText w:val="%1"/>
      <w:numFmt w:val="lowerLetter"/>
      <w:start w:val="1"/>
    </w:lvl>
    <w:lvl w:ilvl="1">
      <w:lvlJc w:val="left"/>
      <w:lvlText w:val="(%2)"/>
      <w:numFmt w:val="lowerLetter"/>
      <w:start w:val="2"/>
    </w:lvl>
  </w:abstractNum>
  <w:abstractNum w:abstractNumId="179">
    <w:nsid w:val="C058DF5"/>
    <w:multiLevelType w:val="hybridMultilevel"/>
    <w:lvl w:ilvl="0">
      <w:lvlJc w:val="left"/>
      <w:lvlText w:val="(%1)"/>
      <w:numFmt w:val="lowerLetter"/>
      <w:start w:val="24"/>
    </w:lvl>
    <w:lvl w:ilvl="1">
      <w:lvlJc w:val="left"/>
      <w:lvlText w:val="(%2)"/>
      <w:numFmt w:val="lowerLetter"/>
      <w:start w:val="22"/>
    </w:lvl>
  </w:abstractNum>
  <w:abstractNum w:abstractNumId="180">
    <w:nsid w:val="CBE5BE9"/>
    <w:multiLevelType w:val="hybridMultilevel"/>
    <w:lvl w:ilvl="0">
      <w:lvlJc w:val="left"/>
      <w:lvlText w:val="(%1)"/>
      <w:numFmt w:val="lowerLetter"/>
      <w:start w:val="3"/>
    </w:lvl>
  </w:abstractNum>
  <w:abstractNum w:abstractNumId="181">
    <w:nsid w:val="3102BBE2"/>
    <w:multiLevelType w:val="hybridMultilevel"/>
    <w:lvl w:ilvl="0">
      <w:lvlJc w:val="left"/>
      <w:lvlText w:val="(%1)"/>
      <w:numFmt w:val="lowerLetter"/>
      <w:start w:val="35"/>
    </w:lvl>
  </w:abstractNum>
  <w:abstractNum w:abstractNumId="182">
    <w:nsid w:val="26A02C5E"/>
    <w:multiLevelType w:val="hybridMultilevel"/>
    <w:lvl w:ilvl="0">
      <w:lvlJc w:val="left"/>
      <w:lvlText w:val="(%1)"/>
      <w:numFmt w:val="lowerLetter"/>
      <w:start w:val="5"/>
    </w:lvl>
  </w:abstractNum>
  <w:abstractNum w:abstractNumId="183">
    <w:nsid w:val="541C8153"/>
    <w:multiLevelType w:val="hybridMultilevel"/>
    <w:lvl w:ilvl="0">
      <w:lvlJc w:val="left"/>
      <w:lvlText w:val="(%1)"/>
      <w:numFmt w:val="lowerLetter"/>
      <w:start w:val="2"/>
    </w:lvl>
  </w:abstractNum>
  <w:abstractNum w:abstractNumId="184">
    <w:nsid w:val="67906F60"/>
    <w:multiLevelType w:val="hybridMultilevel"/>
    <w:lvl w:ilvl="0">
      <w:lvlJc w:val="left"/>
      <w:lvlText w:val="(%1)"/>
      <w:numFmt w:val="lowerLetter"/>
      <w:start w:val="2"/>
    </w:lvl>
  </w:abstractNum>
  <w:abstractNum w:abstractNumId="185">
    <w:nsid w:val="10DB9DAA"/>
    <w:multiLevelType w:val="hybridMultilevel"/>
    <w:lvl w:ilvl="0">
      <w:lvlJc w:val="left"/>
      <w:lvlText w:val="(%1)"/>
      <w:numFmt w:val="lowerLetter"/>
      <w:start w:val="4"/>
    </w:lvl>
  </w:abstractNum>
  <w:abstractNum w:abstractNumId="186">
    <w:nsid w:val="697D2D2"/>
    <w:multiLevelType w:val="hybridMultilevel"/>
    <w:lvl w:ilvl="0">
      <w:lvlJc w:val="left"/>
      <w:lvlText w:val="(%1)"/>
      <w:numFmt w:val="lowerLetter"/>
      <w:start w:val="2"/>
    </w:lvl>
  </w:abstractNum>
  <w:abstractNum w:abstractNumId="187">
    <w:nsid w:val="6D68AB2"/>
    <w:multiLevelType w:val="hybridMultilevel"/>
    <w:lvl w:ilvl="0">
      <w:lvlJc w:val="left"/>
      <w:lvlText w:val="(%1)"/>
      <w:numFmt w:val="upperLetter"/>
      <w:start w:val="1"/>
    </w:lvl>
  </w:abstractNum>
  <w:abstractNum w:abstractNumId="188">
    <w:nsid w:val="3A966CD0"/>
    <w:multiLevelType w:val="hybridMultilevel"/>
    <w:lvl w:ilvl="0">
      <w:lvlJc w:val="left"/>
      <w:lvlText w:val="(%1)"/>
      <w:numFmt w:val="lowerRoman"/>
      <w:start w:val="2"/>
    </w:lvl>
  </w:abstractNum>
  <w:abstractNum w:abstractNumId="189">
    <w:nsid w:val="63F37E85"/>
    <w:multiLevelType w:val="hybridMultilevel"/>
    <w:lvl w:ilvl="0">
      <w:lvlJc w:val="left"/>
      <w:lvlText w:val="(%1)"/>
      <w:numFmt w:val="upperLetter"/>
      <w:start w:val="1"/>
    </w:lvl>
  </w:abstractNum>
  <w:abstractNum w:abstractNumId="190">
    <w:nsid w:val="5895F5FA"/>
    <w:multiLevelType w:val="hybridMultilevel"/>
    <w:lvl w:ilvl="0">
      <w:lvlJc w:val="left"/>
      <w:lvlText w:val="(%1)"/>
      <w:numFmt w:val="lowerRoman"/>
      <w:start w:val="3"/>
    </w:lvl>
  </w:abstractNum>
  <w:abstractNum w:abstractNumId="191">
    <w:nsid w:val="38A5D054"/>
    <w:multiLevelType w:val="hybridMultilevel"/>
    <w:lvl w:ilvl="0">
      <w:lvlJc w:val="left"/>
      <w:lvlText w:val="(%1)"/>
      <w:numFmt w:val="lowerRoman"/>
      <w:start w:val="5"/>
    </w:lvl>
  </w:abstractNum>
  <w:abstractNum w:abstractNumId="192">
    <w:nsid w:val="F3F09D8"/>
    <w:multiLevelType w:val="hybridMultilevel"/>
    <w:lvl w:ilvl="0">
      <w:lvlJc w:val="left"/>
      <w:lvlText w:val="(%1)"/>
      <w:numFmt w:val="lowerLetter"/>
      <w:start w:val="3"/>
    </w:lvl>
  </w:abstractNum>
  <w:abstractNum w:abstractNumId="193">
    <w:nsid w:val="4B793735"/>
    <w:multiLevelType w:val="hybridMultilevel"/>
    <w:lvl w:ilvl="0">
      <w:lvlJc w:val="left"/>
      <w:lvlText w:val="(%1)"/>
      <w:numFmt w:val="lowerLetter"/>
      <w:start w:val="4"/>
    </w:lvl>
  </w:abstractNum>
  <w:abstractNum w:abstractNumId="194">
    <w:nsid w:val="4A10B4E8"/>
    <w:multiLevelType w:val="hybridMultilevel"/>
    <w:lvl w:ilvl="0">
      <w:lvlJc w:val="left"/>
      <w:lvlText w:val="(%1)"/>
      <w:numFmt w:val="lowerLetter"/>
      <w:start w:val="2"/>
    </w:lvl>
  </w:abstractNum>
  <w:abstractNum w:abstractNumId="195">
    <w:nsid w:val="43D3BCD4"/>
    <w:multiLevelType w:val="hybridMultilevel"/>
    <w:lvl w:ilvl="0">
      <w:lvlJc w:val="left"/>
      <w:lvlText w:val="(%1)"/>
      <w:numFmt w:val="upperLetter"/>
      <w:start w:val="1"/>
    </w:lvl>
    <w:lvl w:ilvl="1">
      <w:lvlJc w:val="left"/>
      <w:lvlText w:val="(%2)"/>
      <w:numFmt w:val="upperLetter"/>
      <w:start w:val="2"/>
    </w:lvl>
  </w:abstractNum>
  <w:abstractNum w:abstractNumId="196">
    <w:nsid w:val="4C2A7166"/>
    <w:multiLevelType w:val="hybridMultilevel"/>
    <w:lvl w:ilvl="0">
      <w:lvlJc w:val="left"/>
      <w:lvlText w:val="(%1)"/>
      <w:numFmt w:val="lowerLetter"/>
      <w:start w:val="1"/>
    </w:lvl>
  </w:abstractNum>
  <w:abstractNum w:abstractNumId="197">
    <w:nsid w:val="2E534A82"/>
    <w:multiLevelType w:val="hybridMultilevel"/>
    <w:lvl w:ilvl="0">
      <w:lvlJc w:val="left"/>
      <w:lvlText w:val="(%1)"/>
      <w:numFmt w:val="lowerRoman"/>
      <w:start w:val="1"/>
    </w:lvl>
  </w:abstractNum>
  <w:abstractNum w:abstractNumId="198">
    <w:nsid w:val="26F2D364"/>
    <w:multiLevelType w:val="hybridMultilevel"/>
    <w:lvl w:ilvl="0">
      <w:lvlJc w:val="left"/>
      <w:lvlText w:val="(%1)"/>
      <w:numFmt w:val="lowerRoman"/>
      <w:start w:val="3"/>
    </w:lvl>
  </w:abstractNum>
  <w:abstractNum w:abstractNumId="199">
    <w:nsid w:val="71C1AF98"/>
    <w:multiLevelType w:val="hybridMultilevel"/>
    <w:lvl w:ilvl="0">
      <w:lvlJc w:val="left"/>
      <w:lvlText w:val="(%1)"/>
      <w:numFmt w:val="lowerLetter"/>
      <w:start w:val="1"/>
    </w:lvl>
  </w:abstractNum>
  <w:abstractNum w:abstractNumId="200">
    <w:nsid w:val="3D00B9D9"/>
    <w:multiLevelType w:val="hybridMultilevel"/>
    <w:lvl w:ilvl="0">
      <w:lvlJc w:val="left"/>
      <w:lvlText w:val="(%1)"/>
      <w:numFmt w:val="lowerLetter"/>
      <w:start w:val="2"/>
    </w:lvl>
  </w:abstractNum>
  <w:abstractNum w:abstractNumId="201">
    <w:nsid w:val="15BCABA8"/>
    <w:multiLevelType w:val="hybridMultilevel"/>
    <w:lvl w:ilvl="0">
      <w:lvlJc w:val="left"/>
      <w:lvlText w:val="(%1)"/>
      <w:numFmt w:val="lowerLetter"/>
      <w:start w:val="2"/>
    </w:lvl>
  </w:abstractNum>
  <w:abstractNum w:abstractNumId="202">
    <w:nsid w:val="4E0B9A87"/>
    <w:multiLevelType w:val="hybridMultilevel"/>
    <w:lvl w:ilvl="0">
      <w:lvlJc w:val="left"/>
      <w:lvlText w:val="(%1)"/>
      <w:numFmt w:val="lowerLetter"/>
      <w:start w:val="1"/>
    </w:lvl>
  </w:abstractNum>
  <w:abstractNum w:abstractNumId="203">
    <w:nsid w:val="434BAE75"/>
    <w:multiLevelType w:val="hybridMultilevel"/>
    <w:lvl w:ilvl="0">
      <w:lvlJc w:val="left"/>
      <w:lvlText w:val="%1."/>
      <w:numFmt w:val="decimal"/>
      <w:start w:val="1"/>
    </w:lvl>
    <w:lvl w:ilvl="1">
      <w:lvlJc w:val="left"/>
      <w:lvlText w:val="(%2)"/>
      <w:numFmt w:val="lowerLetter"/>
      <w:start w:val="1"/>
    </w:lvl>
  </w:abstractNum>
  <w:abstractNum w:abstractNumId="204">
    <w:nsid w:val="4F38F265"/>
    <w:multiLevelType w:val="hybridMultilevel"/>
    <w:lvl w:ilvl="0">
      <w:lvlJc w:val="left"/>
      <w:lvlText w:val="%1."/>
      <w:numFmt w:val="decimal"/>
      <w:start w:val="1"/>
    </w:lvl>
    <w:lvl w:ilvl="1">
      <w:lvlJc w:val="left"/>
      <w:lvlText w:val="(%2)"/>
      <w:numFmt w:val="lowerLetter"/>
      <w:start w:val="1"/>
    </w:lvl>
  </w:abstractNum>
  <w:abstractNum w:abstractNumId="205">
    <w:nsid w:val="4C502870"/>
    <w:multiLevelType w:val="hybridMultilevel"/>
    <w:lvl w:ilvl="0">
      <w:lvlJc w:val="left"/>
      <w:lvlText w:val="(%1)"/>
      <w:numFmt w:val="lowerRoman"/>
      <w:start w:val="1"/>
    </w:lvl>
  </w:abstractNum>
  <w:abstractNum w:abstractNumId="206">
    <w:nsid w:val="1DE8725A"/>
    <w:multiLevelType w:val="hybridMultilevel"/>
    <w:lvl w:ilvl="0">
      <w:lvlJc w:val="left"/>
      <w:lvlText w:val="(%1)"/>
      <w:numFmt w:val="lowerRoman"/>
      <w:start w:val="1"/>
    </w:lvl>
  </w:abstractNum>
  <w:abstractNum w:abstractNumId="207">
    <w:nsid w:val="6A37288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85" Type="http://schemas.openxmlformats.org/officeDocument/2006/relationships/hyperlink" Target="https://www.sec.gov/Archives/edgar/data/1116132/000114036124049035/ny20039258x4_ex4-1.htm" TargetMode="External"/><Relationship Id="rId86" Type="http://schemas.openxmlformats.org/officeDocument/2006/relationships/hyperlink" Target="https://www.sec.gov/Archives/edgar/data/1116132/000114036124049035/ny20039258x4_ex4-2.htm" TargetMode="External"/><Relationship Id="rId87" Type="http://schemas.openxmlformats.org/officeDocument/2006/relationships/hyperlink" Target="https://www.sec.gov/Archives/edgar/data/1116132/000114036124049035/ny20039258x4_ex5-1.htm" TargetMode="External"/><Relationship Id="rId88" Type="http://schemas.openxmlformats.org/officeDocument/2006/relationships/hyperlink" Target="https://www.sec.gov/Archives/edgar/data/1116132/000114036124049035/ny20039258x4_ex5-2.htm" TargetMode="External"/><Relationship Id="rId89" Type="http://schemas.openxmlformats.org/officeDocument/2006/relationships/hyperlink" Target="https://www.sec.gov/Archives/edgar/data/1116132/000114036124046713/ef20038690_ex10-1.htm" TargetMode="External"/><Relationship Id="rId90" Type="http://schemas.openxmlformats.org/officeDocument/2006/relationships/hyperlink" Target="https://www.sec.gov/Archives/edgar/data/1116132/000114036124047569/ef20039097_ex10-1.htm" TargetMode="External"/><Relationship Id="rId91" Type="http://schemas.openxmlformats.org/officeDocument/2006/relationships/hyperlink" Target="https://www.sec.gov/Archives/edgar/data/1116132/000114036124047569/ef20039097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2025-02-06T05:58:24Z</dcterms:created>
  <dcterms:modified xsi:type="dcterms:W3CDTF">2025-02-06T05:58:24Z</dcterms:modified>
</cp:coreProperties>
</file>