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2"/>
        </w:rPr>
      </w:pPr>
      <w:r>
        <w:rPr>
          <w:rFonts w:ascii="Times New Roman;sans-serif" w:hAnsi="Times New Roman;sans-serif"/>
          <w:b/>
          <w:color w:val="000000"/>
          <w:sz w:val="2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120" w:after="283"/>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1-16153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5"/>
        </w:rPr>
      </w:pPr>
      <w:r>
        <w:rPr>
          <w:rFonts w:ascii="Times New Roman;sans-serif" w:hAnsi="Times New Roman;sans-serif"/>
          <w:b/>
          <w:color w:val="000000"/>
          <w:sz w:val="35"/>
        </w:rPr>
        <w:t xml:space="preserve">Tapestry, Inc.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4"/>
        <w:gridCol w:w="1374"/>
        <w:gridCol w:w="1382"/>
        <w:gridCol w:w="109"/>
        <w:gridCol w:w="109"/>
        <w:gridCol w:w="109"/>
        <w:gridCol w:w="791"/>
        <w:gridCol w:w="791"/>
        <w:gridCol w:w="1133"/>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52-2242751</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10 Hudson Yards, New York, NY 10001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946-8400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Securities registered pursuant to Section 12(b) of the Act:</w:t>
      </w:r>
    </w:p>
    <w:tbl>
      <w:tblPr>
        <w:tblW w:w="8362" w:type="dxa"/>
        <w:jc w:val="center"/>
        <w:tblInd w:w="0" w:type="dxa"/>
        <w:tblLayout w:type="fixed"/>
        <w:tblCellMar>
          <w:top w:w="28" w:type="dxa"/>
          <w:left w:w="28" w:type="dxa"/>
          <w:bottom w:w="28" w:type="dxa"/>
          <w:right w:w="28" w:type="dxa"/>
        </w:tblCellMar>
      </w:tblPr>
      <w:tblGrid>
        <w:gridCol w:w="1088"/>
        <w:gridCol w:w="960"/>
        <w:gridCol w:w="967"/>
        <w:gridCol w:w="109"/>
        <w:gridCol w:w="109"/>
        <w:gridCol w:w="109"/>
        <w:gridCol w:w="424"/>
        <w:gridCol w:w="424"/>
        <w:gridCol w:w="426"/>
        <w:gridCol w:w="109"/>
        <w:gridCol w:w="109"/>
        <w:gridCol w:w="109"/>
        <w:gridCol w:w="1000"/>
        <w:gridCol w:w="1000"/>
        <w:gridCol w:w="1419"/>
      </w:tblGrid>
      <w:tr>
        <w:trPr/>
        <w:tc>
          <w:tcPr>
            <w:tcW w:w="108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40" w:after="283"/>
        <w:ind w:left="0" w:right="0" w:firstLine="180"/>
        <w:jc w:val="both"/>
        <w:rPr/>
      </w:pPr>
      <w:r>
        <w:rPr>
          <w:rFonts w:ascii="Times New Roman;sans-serif" w:hAnsi="Times New Roman;sans-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9"/>
        </w:rPr>
        <w:t xml:space="preserve">Yes </w:t>
      </w:r>
      <w:r>
        <w:rPr>
          <w:color w:val="000000"/>
        </w:rPr>
        <w:t xml:space="preserve">☐ </w:t>
      </w:r>
      <w:r>
        <w:rPr>
          <w:rFonts w:ascii="Times New Roman;sans-serif" w:hAnsi="Times New Roman;sans-serif"/>
          <w:b w:val="false"/>
          <w:color w:val="000000"/>
          <w:sz w:val="19"/>
        </w:rPr>
        <w:t>No</w:t>
      </w:r>
    </w:p>
    <w:p>
      <w:pPr>
        <w:pStyle w:val="TextBody"/>
        <w:bidi w:val="0"/>
        <w:spacing w:lineRule="auto" w:line="288" w:before="120" w:after="283"/>
        <w:ind w:left="0" w:right="0" w:firstLine="180"/>
        <w:jc w:val="both"/>
        <w:rPr/>
      </w:pPr>
      <w:r>
        <w:rPr>
          <w:rFonts w:ascii="Times New Roman;sans-serif" w:hAnsi="Times New Roman;sans-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9"/>
        </w:rPr>
        <w:t xml:space="preserve">Yes </w:t>
      </w:r>
      <w:r>
        <w:rPr>
          <w:color w:val="000000"/>
        </w:rPr>
        <w:t xml:space="preserve">☐ </w:t>
      </w:r>
      <w:r>
        <w:rPr>
          <w:rFonts w:ascii="Times New Roman;sans-serif" w:hAnsi="Times New Roman;sans-serif"/>
          <w:b w:val="false"/>
          <w:color w:val="000000"/>
          <w:sz w:val="19"/>
        </w:rPr>
        <w:t>No</w:t>
      </w:r>
    </w:p>
    <w:p>
      <w:pPr>
        <w:pStyle w:val="TextBody"/>
        <w:bidi w:val="0"/>
        <w:spacing w:lineRule="auto" w:line="288" w:before="120" w:after="283"/>
        <w:ind w:left="0" w:right="0" w:firstLine="18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291"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434"/>
        <w:gridCol w:w="434"/>
        <w:gridCol w:w="436"/>
        <w:gridCol w:w="109"/>
        <w:gridCol w:w="109"/>
        <w:gridCol w:w="109"/>
        <w:gridCol w:w="109"/>
        <w:gridCol w:w="109"/>
        <w:gridCol w:w="109"/>
        <w:gridCol w:w="524"/>
        <w:gridCol w:w="524"/>
        <w:gridCol w:w="52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80"/>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180"/>
        <w:jc w:val="both"/>
        <w:rPr/>
      </w:pPr>
      <w:r>
        <w:rPr>
          <w:rFonts w:ascii="Times New Roman;sans-serif" w:hAnsi="Times New Roman;sans-serif"/>
          <w:b w:val="false"/>
          <w:color w:val="000000"/>
          <w:sz w:val="19"/>
        </w:rPr>
        <w:t xml:space="preserve">Indicate by check mark whether the registrant is a shell company (as defined in Rule 12b-2 of the Exchange Act). </w:t>
      </w:r>
      <w:r>
        <w:rPr>
          <w:color w:val="000000"/>
        </w:rPr>
        <w:t xml:space="preserve">☐ </w:t>
      </w:r>
      <w:r>
        <w:rPr>
          <w:rFonts w:ascii="Times New Roman;sans-serif" w:hAnsi="Times New Roman;sans-serif"/>
          <w:b w:val="false"/>
          <w:color w:val="000000"/>
          <w:sz w:val="19"/>
        </w:rPr>
        <w:t xml:space="preserve">Yes </w:t>
      </w:r>
      <w:r>
        <w:rPr>
          <w:color w:val="000000"/>
        </w:rPr>
        <w:t xml:space="preserve">☑ </w:t>
      </w:r>
      <w:r>
        <w:rPr>
          <w:rFonts w:ascii="Times New Roman;sans-serif" w:hAnsi="Times New Roman;sans-serif"/>
          <w:b w:val="false"/>
          <w:color w:val="000000"/>
          <w:sz w:val="19"/>
        </w:rPr>
        <w:t>No</w:t>
      </w:r>
    </w:p>
    <w:p>
      <w:pPr>
        <w:pStyle w:val="TextBody"/>
        <w:bidi w:val="0"/>
        <w:spacing w:lineRule="auto" w:line="288" w:before="120" w:after="283"/>
        <w:ind w:left="0" w:right="0" w:firstLine="180"/>
        <w:jc w:val="both"/>
        <w:rPr>
          <w:rFonts w:ascii="Times New Roman;sans-serif" w:hAnsi="Times New Roman;sans-serif"/>
          <w:b w:val="false"/>
          <w:color w:val="000000"/>
          <w:sz w:val="19"/>
        </w:rPr>
      </w:pPr>
      <w:r>
        <w:rPr>
          <w:rFonts w:ascii="Times New Roman;sans-serif" w:hAnsi="Times New Roman;sans-serif"/>
          <w:b w:val="false"/>
          <w:color w:val="000000"/>
          <w:sz w:val="19"/>
        </w:rPr>
        <w:t>On April 26, 2024, the Registrant had 229,773,250 outstanding shares of common stock, which is the Registrant’s only class of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93"/>
        <w:gridCol w:w="389"/>
        <w:gridCol w:w="253"/>
        <w:gridCol w:w="2149"/>
        <w:gridCol w:w="2081"/>
        <w:gridCol w:w="2086"/>
        <w:gridCol w:w="775"/>
        <w:gridCol w:w="775"/>
        <w:gridCol w:w="1104"/>
      </w:tblGrid>
      <w:tr>
        <w:trPr/>
        <w:tc>
          <w:tcPr>
            <w:tcW w:w="5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Number</w:t>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 (unaudited)</w:t>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6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6">
              <w:r>
                <w:rPr>
                  <w:rStyle w:val="InternetLink"/>
                  <w:rFonts w:ascii="Times New Roman;sans-serif" w:hAnsi="Times New Roman;sans-serif"/>
                  <w:b w:val="false"/>
                  <w:color w:val="0000FF"/>
                  <w:sz w:val="20"/>
                  <w:u w:val="single"/>
                </w:rPr>
                <w:t>Condensed Consolidated Balance Sheets</w:t>
              </w:r>
            </w:hyperlink>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6">
              <w:r>
                <w:rPr>
                  <w:rStyle w:val="InternetLink"/>
                  <w:rFonts w:ascii="Times New Roman;sans-serif" w:hAnsi="Times New Roman;sans-serif"/>
                  <w:b w:val="false"/>
                  <w:color w:val="0000FF"/>
                  <w:sz w:val="20"/>
                  <w:u w:val="single"/>
                </w:rPr>
                <w:t>1</w:t>
              </w:r>
            </w:hyperlink>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9">
              <w:r>
                <w:rPr>
                  <w:rStyle w:val="InternetLink"/>
                  <w:rFonts w:ascii="Times New Roman;sans-serif" w:hAnsi="Times New Roman;sans-serif"/>
                  <w:b w:val="false"/>
                  <w:color w:val="0000FF"/>
                  <w:sz w:val="20"/>
                  <w:u w:val="single"/>
                </w:rPr>
                <w:t>Condensed Consolidated Statements of Operations</w:t>
              </w:r>
            </w:hyperlink>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9">
              <w:r>
                <w:rPr>
                  <w:rStyle w:val="InternetLink"/>
                  <w:rFonts w:ascii="Times New Roman;sans-serif" w:hAnsi="Times New Roman;sans-serif"/>
                  <w:b w:val="false"/>
                  <w:color w:val="0000FF"/>
                  <w:sz w:val="20"/>
                  <w:u w:val="single"/>
                </w:rPr>
                <w:t>2</w:t>
              </w:r>
            </w:hyperlink>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22">
              <w:r>
                <w:rPr>
                  <w:rStyle w:val="InternetLink"/>
                  <w:rFonts w:ascii="Times New Roman;sans-serif" w:hAnsi="Times New Roman;sans-serif"/>
                  <w:b w:val="false"/>
                  <w:color w:val="0000FF"/>
                  <w:sz w:val="20"/>
                  <w:u w:val="single"/>
                </w:rPr>
                <w:t>Condensed Consolidated Statements of Comprehensive Income (Loss)</w:t>
              </w:r>
            </w:hyperlink>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22">
              <w:r>
                <w:rPr>
                  <w:rStyle w:val="InternetLink"/>
                  <w:rFonts w:ascii="Times New Roman;sans-serif" w:hAnsi="Times New Roman;sans-serif"/>
                  <w:b w:val="false"/>
                  <w:color w:val="0000FF"/>
                  <w:sz w:val="20"/>
                  <w:u w:val="single"/>
                </w:rPr>
                <w:t>3</w:t>
              </w:r>
            </w:hyperlink>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25">
              <w:r>
                <w:rPr>
                  <w:rStyle w:val="InternetLink"/>
                  <w:rFonts w:ascii="Times New Roman;sans-serif" w:hAnsi="Times New Roman;sans-serif"/>
                  <w:b w:val="false"/>
                  <w:color w:val="0000FF"/>
                  <w:sz w:val="20"/>
                  <w:u w:val="single"/>
                </w:rPr>
                <w:t>Condensed Consolidated Statements of Cash Flows</w:t>
              </w:r>
            </w:hyperlink>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25">
              <w:r>
                <w:rPr>
                  <w:rStyle w:val="InternetLink"/>
                  <w:rFonts w:ascii="Times New Roman;sans-serif" w:hAnsi="Times New Roman;sans-serif"/>
                  <w:b w:val="false"/>
                  <w:color w:val="0000FF"/>
                  <w:sz w:val="20"/>
                  <w:u w:val="single"/>
                </w:rPr>
                <w:t>4</w:t>
              </w:r>
            </w:hyperlink>
          </w:p>
        </w:tc>
      </w:tr>
      <w:tr>
        <w:trPr/>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28">
              <w:r>
                <w:rPr>
                  <w:rStyle w:val="InternetLink"/>
                  <w:rFonts w:ascii="Times New Roman;sans-serif" w:hAnsi="Times New Roman;sans-serif"/>
                  <w:b w:val="false"/>
                  <w:color w:val="0000FF"/>
                  <w:sz w:val="20"/>
                  <w:u w:val="single"/>
                </w:rPr>
                <w:t>Notes to Condensed Consolidated Financial Statements</w:t>
              </w:r>
            </w:hyperlink>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28">
              <w:r>
                <w:rPr>
                  <w:rStyle w:val="InternetLink"/>
                  <w:rFonts w:ascii="Times New Roman;sans-serif" w:hAnsi="Times New Roman;sans-serif"/>
                  <w:b w:val="false"/>
                  <w:color w:val="0000FF"/>
                  <w:sz w:val="20"/>
                  <w:u w:val="single"/>
                </w:rPr>
                <w:t>5</w:t>
              </w:r>
            </w:hyperlink>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6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91">
              <w:r>
                <w:rPr>
                  <w:rStyle w:val="InternetLink"/>
                  <w:rFonts w:ascii="Times New Roman;sans-serif" w:hAnsi="Times New Roman;sans-serif"/>
                  <w:b w:val="false"/>
                  <w:color w:val="0000FF"/>
                  <w:sz w:val="20"/>
                  <w:u w:val="single"/>
                </w:rPr>
                <w:t>29</w:t>
              </w:r>
            </w:hyperlink>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6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12">
              <w:r>
                <w:rPr>
                  <w:rStyle w:val="InternetLink"/>
                  <w:rFonts w:ascii="Times New Roman;sans-serif" w:hAnsi="Times New Roman;sans-serif"/>
                  <w:b w:val="false"/>
                  <w:color w:val="0000FF"/>
                  <w:sz w:val="20"/>
                  <w:u w:val="single"/>
                </w:rPr>
                <w:t>Quantitative and Qualitative Disclosures about Market Risk</w:t>
              </w:r>
            </w:hyperlink>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12">
              <w:r>
                <w:rPr>
                  <w:rStyle w:val="InternetLink"/>
                  <w:rFonts w:ascii="Times New Roman;sans-serif" w:hAnsi="Times New Roman;sans-serif"/>
                  <w:b w:val="false"/>
                  <w:color w:val="0000FF"/>
                  <w:sz w:val="20"/>
                  <w:u w:val="single"/>
                </w:rPr>
                <w:t>46</w:t>
              </w:r>
            </w:hyperlink>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6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15">
              <w:r>
                <w:rPr>
                  <w:rStyle w:val="InternetLink"/>
                  <w:rFonts w:ascii="Times New Roman;sans-serif" w:hAnsi="Times New Roman;sans-serif"/>
                  <w:b w:val="false"/>
                  <w:color w:val="0000FF"/>
                  <w:sz w:val="20"/>
                  <w:u w:val="single"/>
                </w:rPr>
                <w:t>Controls and Procedures</w:t>
              </w:r>
            </w:hyperlink>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15">
              <w:r>
                <w:rPr>
                  <w:rStyle w:val="InternetLink"/>
                  <w:rFonts w:ascii="Times New Roman;sans-serif" w:hAnsi="Times New Roman;sans-serif"/>
                  <w:b w:val="false"/>
                  <w:color w:val="0000FF"/>
                  <w:sz w:val="20"/>
                  <w:u w:val="single"/>
                </w:rPr>
                <w:t>47</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6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21">
              <w:r>
                <w:rPr>
                  <w:rStyle w:val="InternetLink"/>
                  <w:rFonts w:ascii="Times New Roman;sans-serif" w:hAnsi="Times New Roman;sans-serif"/>
                  <w:b w:val="false"/>
                  <w:color w:val="0000FF"/>
                  <w:sz w:val="20"/>
                  <w:u w:val="single"/>
                </w:rPr>
                <w:t>Legal Proceedings</w:t>
              </w:r>
            </w:hyperlink>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21">
              <w:r>
                <w:rPr>
                  <w:rStyle w:val="InternetLink"/>
                  <w:rFonts w:ascii="Times New Roman;sans-serif" w:hAnsi="Times New Roman;sans-serif"/>
                  <w:b w:val="false"/>
                  <w:color w:val="0000FF"/>
                  <w:sz w:val="20"/>
                  <w:u w:val="single"/>
                </w:rPr>
                <w:t>48</w:t>
              </w:r>
            </w:hyperlink>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6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24">
              <w:r>
                <w:rPr>
                  <w:rStyle w:val="InternetLink"/>
                  <w:rFonts w:ascii="Times New Roman;sans-serif" w:hAnsi="Times New Roman;sans-serif"/>
                  <w:b w:val="false"/>
                  <w:color w:val="0000FF"/>
                  <w:sz w:val="20"/>
                  <w:u w:val="single"/>
                </w:rPr>
                <w:t>Risk Factors</w:t>
              </w:r>
            </w:hyperlink>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24">
              <w:r>
                <w:rPr>
                  <w:rStyle w:val="InternetLink"/>
                  <w:rFonts w:ascii="Times New Roman;sans-serif" w:hAnsi="Times New Roman;sans-serif"/>
                  <w:b w:val="false"/>
                  <w:color w:val="0000FF"/>
                  <w:sz w:val="20"/>
                  <w:u w:val="single"/>
                </w:rPr>
                <w:t>48</w:t>
              </w:r>
            </w:hyperlink>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6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27">
              <w:r>
                <w:rPr>
                  <w:rStyle w:val="InternetLink"/>
                  <w:rFonts w:ascii="Times New Roman;sans-serif" w:hAnsi="Times New Roman;sans-serif"/>
                  <w:b w:val="false"/>
                  <w:color w:val="0000FF"/>
                  <w:sz w:val="20"/>
                  <w:u w:val="single"/>
                </w:rPr>
                <w:t>Unregistered Sales of Equity Securities and Use of Proceeds</w:t>
              </w:r>
            </w:hyperlink>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27">
              <w:r>
                <w:rPr>
                  <w:rStyle w:val="InternetLink"/>
                  <w:rFonts w:ascii="Times New Roman;sans-serif" w:hAnsi="Times New Roman;sans-serif"/>
                  <w:b w:val="false"/>
                  <w:color w:val="0000FF"/>
                  <w:sz w:val="20"/>
                  <w:u w:val="single"/>
                </w:rPr>
                <w:t>49</w:t>
              </w:r>
            </w:hyperlink>
          </w:p>
        </w:tc>
      </w:tr>
      <w:tr>
        <w:trPr/>
        <w:tc>
          <w:tcPr>
            <w:tcW w:w="1235" w:type="dxa"/>
            <w:gridSpan w:val="3"/>
            <w:tcBorders/>
            <w:vAlign w:val="center"/>
          </w:tcPr>
          <w:p>
            <w:pPr>
              <w:pStyle w:val="TableContents"/>
              <w:bidi w:val="0"/>
              <w:spacing w:before="0" w:after="283"/>
              <w:jc w:val="left"/>
              <w:rPr>
                <w:sz w:val="4"/>
                <w:szCs w:val="4"/>
              </w:rPr>
            </w:pPr>
            <w:r>
              <w:rPr>
                <w:sz w:val="4"/>
                <w:szCs w:val="4"/>
              </w:rPr>
            </w:r>
          </w:p>
        </w:tc>
        <w:tc>
          <w:tcPr>
            <w:tcW w:w="6316"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1235" w:type="dxa"/>
            <w:gridSpan w:val="3"/>
            <w:tcBorders/>
            <w:vAlign w:val="center"/>
          </w:tcPr>
          <w:p>
            <w:pPr>
              <w:pStyle w:val="TableContents"/>
              <w:bidi w:val="0"/>
              <w:spacing w:before="0" w:after="283"/>
              <w:jc w:val="left"/>
              <w:rPr>
                <w:sz w:val="4"/>
                <w:szCs w:val="4"/>
              </w:rPr>
            </w:pPr>
            <w:r>
              <w:rPr>
                <w:sz w:val="4"/>
                <w:szCs w:val="4"/>
              </w:rPr>
            </w:r>
          </w:p>
        </w:tc>
        <w:tc>
          <w:tcPr>
            <w:tcW w:w="6316"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6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36">
              <w:r>
                <w:rPr>
                  <w:rStyle w:val="InternetLink"/>
                  <w:rFonts w:ascii="Times New Roman;sans-serif" w:hAnsi="Times New Roman;sans-serif"/>
                  <w:b w:val="false"/>
                  <w:color w:val="0000FF"/>
                  <w:sz w:val="20"/>
                  <w:u w:val="single"/>
                </w:rPr>
                <w:t>Exhibits</w:t>
              </w:r>
            </w:hyperlink>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36">
              <w:r>
                <w:rPr>
                  <w:rStyle w:val="InternetLink"/>
                  <w:rFonts w:ascii="Times New Roman;sans-serif" w:hAnsi="Times New Roman;sans-serif"/>
                  <w:b w:val="false"/>
                  <w:color w:val="0000FF"/>
                  <w:sz w:val="20"/>
                  <w:u w:val="single"/>
                </w:rPr>
                <w:t>50</w:t>
              </w:r>
            </w:hyperlink>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0df131c728142b6904fbaf98b9a698f_139">
              <w:r>
                <w:rPr>
                  <w:rStyle w:val="InternetLink"/>
                  <w:rFonts w:ascii="Times New Roman;sans-serif" w:hAnsi="Times New Roman;sans-serif"/>
                  <w:b w:val="false"/>
                  <w:color w:val="0000FF"/>
                  <w:sz w:val="20"/>
                  <w:u w:val="single"/>
                </w:rPr>
                <w:t>SIGNATURE</w:t>
              </w:r>
            </w:hyperlink>
          </w:p>
        </w:tc>
        <w:tc>
          <w:tcPr>
            <w:tcW w:w="6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0df131c728142b6904fbaf98b9a698f_139">
              <w:r>
                <w:rPr>
                  <w:rStyle w:val="InternetLink"/>
                  <w:rFonts w:ascii="Times New Roman;sans-serif" w:hAnsi="Times New Roman;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Form 10-Q, references to “we,” “our,” “us,” "Tapestry" and the “Company” refer to Tapestry, Inc., including consolidated subsidiaries. References to "Coach," "Kate Spade," "kate spade new york" or "Stuart Weitzman" refer only to the referenced brand.</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SPECIAL NOTE ON FORWARD-LOOKING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"continue," "project," "assumption," "should," "expect," "confidence," "goals," "trends," "anticipate," "intend," "estimate," "on track," "future," "well positioned to," "plan," "potential," "position," "believe," "seek," "see," "will," "would," "target," similar expressions, and variations or negatives of these words.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but not limited to: (i) the impact of economic conditions, recession and inflationary measures; (ii) the impact of the coronavirus ("Covid-19") pandemic; (iii) our exposure to international risks, including currency fluctuations and changes in economic or political conditions in the markets where we sell or source our products; (iv) our ability to retain the value of our brands and to respond to changing fashion and retail trends in a timely manner, including our ability to execute on our e-commerce and digital strategies; (v) our ability to successfully implement the initiatives under our 2025 growth strategy; (vi) the effect of existing and new competition in the marketplace; (vii) our ability to control costs; (viii) the effect of seasonal and quarterly fluctuations on our sales or operating results; (ix) the risk of cyber security threats and privacy or data security breaches; (x) our ability to protect against infringement of our trademarks and other proprietary rights; (xi) the impact of tax and other legislation; (xii) the risks associated with potential changes to international trade agreements and the imposition of additional duties on importing our products; (xiii) our ability to achieve intended benefits, cost savings and synergies from acquisitions, including our proposed acquisition of Capri Holdings Limited ("Capri"); (xiv) satisfaction of the conditions precedent to consummation of the proposed acquisition of Capri, including the ability to secure regulatory approval in the United States on the terms expected, at all or in a timely manner; (xv) the outcome of the antitrust lawsuit by the Federal Trade Commission against us and Capri related to the consummation of the proposed acquisition; (xvi) the impact of pending and potential future legal proceedings; (xvii) the risks associated with climate change and other corporate responsibility issues and (xviii) such other risk factors as set forth in Part II, Item 1A. "Risk Factors" and elsewhere in this report and in the Company’s Annual Report on Form 10-K for the fiscal year ended July 1, 2023. These factors are not necessarily all of the factors that could cause actual results to differ materially from those expressed in any of our forward-looking statements.</w:t>
      </w:r>
    </w:p>
    <w:p>
      <w:pPr>
        <w:pStyle w:val="TextBody"/>
        <w:bidi w:val="0"/>
        <w:spacing w:lineRule="auto" w:line="288" w:before="300" w:after="283"/>
        <w:jc w:val="center"/>
        <w:rPr/>
      </w:pPr>
      <w:r>
        <w:rPr>
          <w:color w:val="000000"/>
        </w:rPr>
        <w:t> </w:t>
      </w:r>
      <w:r>
        <w:rPr>
          <w:rFonts w:ascii="Times New Roman;sans-serif" w:hAnsi="Times New Roman;sans-serif"/>
          <w:b/>
          <w:color w:val="000000"/>
          <w:sz w:val="20"/>
        </w:rPr>
        <w:t>WHERE YOU CAN FIND MORE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Tapestry's quarterly financial results and other important information are available by calling the Investor Relations Department at (212) 629-2618.</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Tapestry maintains its website at </w:t>
      </w:r>
      <w:r>
        <w:rPr>
          <w:rFonts w:ascii="Times New Roman;sans-serif" w:hAnsi="Times New Roman;sans-serif"/>
          <w:b w:val="false"/>
          <w:color w:val="000000"/>
          <w:sz w:val="20"/>
          <w:u w:val="single"/>
        </w:rPr>
        <w:t>www.tapestry.com</w:t>
      </w:r>
      <w:r>
        <w:rPr>
          <w:color w:val="000000"/>
        </w:rPr>
        <w:t xml:space="preserve"> </w:t>
      </w:r>
      <w:r>
        <w:rPr>
          <w:rFonts w:ascii="Times New Roman;sans-serif" w:hAnsi="Times New Roman;sans-serif"/>
          <w:b w:val="false"/>
          <w:color w:val="000000"/>
          <w:sz w:val="20"/>
        </w:rPr>
        <w:t>where investors and other interested parties may obtain, free of charge, press releases and other information as well as gain access to our periodic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97"/>
        <w:gridCol w:w="2271"/>
        <w:gridCol w:w="2272"/>
        <w:gridCol w:w="211"/>
        <w:gridCol w:w="886"/>
        <w:gridCol w:w="109"/>
        <w:gridCol w:w="109"/>
        <w:gridCol w:w="109"/>
        <w:gridCol w:w="109"/>
        <w:gridCol w:w="211"/>
        <w:gridCol w:w="766"/>
        <w:gridCol w:w="155"/>
      </w:tblGrid>
      <w:tr>
        <w:trPr/>
        <w:tc>
          <w:tcPr>
            <w:tcW w:w="299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w:t>
              <w:br/>
              <w:t>2023</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(millions)</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(unaudited)</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less allowances for credit losses of $5.8 and $5.8, respectively</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13,727.9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7,673.7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income taxes payable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on commitments and contingencies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(authorized 25.0 million shares; $0.01 par value per share) none issued</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(authorized 1.0 billion shares; $0.01 par value per share) issued and outstanding - 229.8 million and 227.4 million shares, respectively</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3,731.0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2,775.1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13,727.9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left"/>
        <w:rPr>
          <w:color w:val="000000"/>
        </w:rPr>
      </w:pPr>
      <w:r>
        <w:rPr>
          <w:color w:val="000000"/>
        </w:rPr>
        <w:t> </w:t>
      </w:r>
    </w:p>
    <w:tbl>
      <w:tblPr>
        <w:tblW w:w="10181" w:type="dxa"/>
        <w:jc w:val="center"/>
        <w:tblInd w:w="0" w:type="dxa"/>
        <w:tblLayout w:type="fixed"/>
        <w:tblCellMar>
          <w:top w:w="28" w:type="dxa"/>
          <w:left w:w="28" w:type="dxa"/>
          <w:bottom w:w="28" w:type="dxa"/>
          <w:right w:w="28" w:type="dxa"/>
        </w:tblCellMar>
      </w:tblPr>
      <w:tblGrid>
        <w:gridCol w:w="1988"/>
        <w:gridCol w:w="1225"/>
        <w:gridCol w:w="1241"/>
        <w:gridCol w:w="211"/>
        <w:gridCol w:w="781"/>
        <w:gridCol w:w="109"/>
        <w:gridCol w:w="109"/>
        <w:gridCol w:w="109"/>
        <w:gridCol w:w="109"/>
        <w:gridCol w:w="211"/>
        <w:gridCol w:w="766"/>
        <w:gridCol w:w="109"/>
        <w:gridCol w:w="109"/>
        <w:gridCol w:w="109"/>
        <w:gridCol w:w="109"/>
        <w:gridCol w:w="109"/>
        <w:gridCol w:w="109"/>
        <w:gridCol w:w="109"/>
        <w:gridCol w:w="211"/>
        <w:gridCol w:w="781"/>
        <w:gridCol w:w="109"/>
        <w:gridCol w:w="109"/>
        <w:gridCol w:w="109"/>
        <w:gridCol w:w="109"/>
        <w:gridCol w:w="211"/>
        <w:gridCol w:w="766"/>
        <w:gridCol w:w="154"/>
      </w:tblGrid>
      <w:tr>
        <w:trPr/>
        <w:tc>
          <w:tcPr>
            <w:tcW w:w="198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 except per share data)</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5,080.1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1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(loss) per share:</w:t>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234.2</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INCOME (LOSS)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25"/>
        <w:gridCol w:w="1600"/>
        <w:gridCol w:w="1607"/>
        <w:gridCol w:w="215"/>
        <w:gridCol w:w="646"/>
        <w:gridCol w:w="110"/>
        <w:gridCol w:w="109"/>
        <w:gridCol w:w="109"/>
        <w:gridCol w:w="109"/>
        <w:gridCol w:w="211"/>
        <w:gridCol w:w="616"/>
        <w:gridCol w:w="109"/>
        <w:gridCol w:w="109"/>
        <w:gridCol w:w="109"/>
        <w:gridCol w:w="109"/>
        <w:gridCol w:w="109"/>
        <w:gridCol w:w="109"/>
        <w:gridCol w:w="109"/>
        <w:gridCol w:w="215"/>
        <w:gridCol w:w="646"/>
        <w:gridCol w:w="110"/>
        <w:gridCol w:w="109"/>
        <w:gridCol w:w="109"/>
        <w:gridCol w:w="109"/>
        <w:gridCol w:w="211"/>
        <w:gridCol w:w="616"/>
        <w:gridCol w:w="160"/>
      </w:tblGrid>
      <w:tr>
        <w:trPr/>
        <w:tc>
          <w:tcPr>
            <w:tcW w:w="182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r>
      <w:tr>
        <w:trPr/>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 net of tax:</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cash flow hedging derivatives, net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available-for-sale investments, net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 net of tax</w:t>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32.7</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160.6</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689.4</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tbl>
      <w:tblPr>
        <w:tblW w:w="9751" w:type="dxa"/>
        <w:jc w:val="left"/>
        <w:tblInd w:w="0" w:type="dxa"/>
        <w:tblLayout w:type="fixed"/>
        <w:tblCellMar>
          <w:top w:w="28" w:type="dxa"/>
          <w:left w:w="28" w:type="dxa"/>
          <w:bottom w:w="28" w:type="dxa"/>
          <w:right w:w="28" w:type="dxa"/>
        </w:tblCellMar>
      </w:tblPr>
      <w:tblGrid>
        <w:gridCol w:w="2707"/>
        <w:gridCol w:w="2375"/>
        <w:gridCol w:w="2387"/>
        <w:gridCol w:w="216"/>
        <w:gridCol w:w="647"/>
        <w:gridCol w:w="111"/>
        <w:gridCol w:w="109"/>
        <w:gridCol w:w="109"/>
        <w:gridCol w:w="109"/>
        <w:gridCol w:w="211"/>
        <w:gridCol w:w="616"/>
        <w:gridCol w:w="154"/>
      </w:tblGrid>
      <w:tr>
        <w:trPr/>
        <w:tc>
          <w:tcPr>
            <w:tcW w:w="270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IN) OPERATING ACTIVITIES</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lease related balances, net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charges, net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999.6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IN) INVESTING ACTIVITIES</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and sales of investments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702.6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net investment hedge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(486.1)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IN) FINANCING ACTIVITIES</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dividends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 net of discount</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6,089.5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share-based awards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to net settle share-based awards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finance lease liabilities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5,733.6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6,249.0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726.1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6,975.1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73.6</w:t>
            </w: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activity - property and equipment obligations</w:t>
            </w:r>
          </w:p>
        </w:tc>
        <w:tc>
          <w:tcPr>
            <w:tcW w:w="2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w:t>
            </w:r>
            <w:r>
              <w:rPr>
                <w:color w:val="000000"/>
              </w:rPr>
              <w:t>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1. NATURE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Tapestry, Inc. ("Tapestry" or the "Company") is a house of iconic accessories and lifestyle brands consisting of Coach, Kate Spade and Stuart Weitzman.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build a company that’s equitable, inclusive, and diverse. Individually, our brands are iconic. Together, we can stretch what’s possible.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Coach segment includes global sales of primarily Coach brand products to customers through Coach operated stores, including e-commerce sites and concession shop-in-shops, sales to wholesale customers and through independent third-party distributors.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Kate Spade segment includes global sales primarily of kate spade new york brand products to customers through Kate Spade operated stores, including e-commerce sites and concession shop-in-shops, sales to wholesale customers and through independent third-party distributors.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Stuart Weitzman segment includes global sales of Stuart Weitzman brand products primarily through Stuart Weitzman operated stores, sales to wholesale customers, through e-commerce sites and through independent third-party distributors.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2. BASIS OF PRESENTATION AND ORGANIZATION</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Interim Financial Statements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interim condensed consolidated financial statements have been prepared pursuant to the rules and regulations of the Securities and Exchange Commission ("SEC"). In the opinion of management, such condensed consolidated financial statements contain all normal and recurring adjustments necessary to present fairly the condensed consolidated financial position, results of operations, comprehensive income (loss) and cash flows of the Company for the interim periods presented. In addition, certain information and footnote disclosures normally included in financial statements prepared in accordance with accounting principles generally accepted in the U.S. ("U.S. GAAP") have been condensed or omitted from this report as is permitted by the SEC's rules and regulations. However, the Company believes that the disclosures provided herein are adequate to prevent the information presented from being misleading. This report should be read in conjunction with the audited consolidated financial statements and notes thereto, included in the Company’s Annual Report on Form 10-K for the year ended July 1, 2023 ("fiscal 2023") and other filings filed with the SEC.</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cash flows and comprehensive income for the nine months ended March 30, 2024 are not necessarily indicative of results to be expected for the entire fiscal year, which will end on June 29, 2024 ("fiscal 2024").</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Fiscal Periods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utilizes a 52-53 week fiscal year ending on the Saturday closest to June 30. Fiscal 2024 will be a 52-week period. Fiscal 2023, ended on July 1, 2023, was also a 52-week period. The third quarter of fiscal 2024 ended on March 30, 2024 and the third quarter of fiscal 2023 ended on April 1, 2023, both of which were 13-week periods. </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resulted in varying degrees of business disruption for the Company since it began in fiscal 2020 and has impacted all regions around the world, resulting in restrictions and shutdowns implemented by national, state, and local authorities. Such disruptions persisted into the beginning of fiscal 2023, and the Company's results in Greater China were adversely impacted as a result of the Covid-19 pandemic. Towards the end of the first half of fiscal 2023, certain government restrictions were lifted in the region and business trends improved. During the nine months ended March 30, 2024, the Covid-19 pandemic did not materially impact our business or operating results. We continue to monitor the latest developments regarding the Covid-19 pandemic and potential impacts on our business, operating results and outlook.</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condensed consolidated financial statements and footnotes thereto. Actual results could differ from estimates in amounts that may be material to the financial statements.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Significant estimates inherent in the preparation of the condensed consolidated financial statements include</w:t>
      </w:r>
      <w:r>
        <w:rPr>
          <w:color w:val="FF0000"/>
        </w:rPr>
        <w:t xml:space="preserve"> </w:t>
      </w:r>
      <w:r>
        <w:rPr>
          <w:rFonts w:ascii="Times New Roman;sans-serif" w:hAnsi="Times New Roman;sans-serif"/>
          <w:b w:val="false"/>
          <w:color w:val="000000"/>
          <w:sz w:val="20"/>
        </w:rPr>
        <w:t xml:space="preserve">reserves for the realizability of inventory; asset retirement obligations; customer returns, end-of-season markdowns and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chargebacks; useful lives and impairments of long-lived tangible and intangible assets; accounting for income taxes and related uncertain tax positions; accounting for business combinations; the valuation of stock-based compensation awards and related expected forfeiture rates; reserves for restructuring; and reserves for litigation and other contingencies, amongst others.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interim condensed consolidated financial statements include the accounts of the Company and all 100% owned and controlled subsidiaries. All intercompany transactions and balances are eliminated in consolidation.</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stock repurchases by allocating the repurchase price to common stock and retained earnings. Under Maryland law, the Company's state of incorporation, there are no treasury shares. All repurchased shares are authorized but unissued shares and these shares may be issued in the future for general corporate and other purposes. The Company may terminate or limit the stock repurchase program at any time. The Company accrues for the shares purchased under the share repurchase plan based on the trade date. Purchases of the Company's common stock are executed through open market purchases, including through purchase agreements under Rule 10b5-1. Effective January 1, 2023, the Company is subject to a 1% excise tax on net share repurchases as part of the Inflation Reduction Act of 2022, which is recorded in Retained earnings as part of Stockholders' Equity.</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Supplier Finance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March 30, 2024 and July 1, 2023, $253.0 million and $305.4 million, respectively, was related to suppliers eligible to participate in the Company's SCF program and presented within Accounts payable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3. RECENT ACCOUNTING PRONOUNCEMENTS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Financial Accounting Standards Board ("FASB") issued Accounting Standards Update ("ASU") No. 2022-04, "Liabilities—Supplier Finance Programs (Subtopic 405-50)", which is intended to enhance the transparency of supplier finance programs. The ASU requires the buyer in a supplier finance program to disclose sufficient information about the program in order to allow a user of financial statements to understand the program's nature, activity during the period, changes from period to period, and potential magnitude. The Company adopted ASU 2022-04 as of the beginning of fiscal 2024. The adoption of ASU 2022-04 did not have an impact on the Company's interim condensed consolidated financial statements other than the new disclosure requirements. Refer to Note 2, "Basis of Presentation and Organization," for additional information.</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(the "FASB") issued ASU No. 2023-07, "Segment Reporting (Topic 280): Improvements to Reportable Segment Disclosures", which is intended to improve reportable segment disclosure requirements, primarily through enhanced disclosures about significant segment expenses. The amendments will require public entities to disclose significant segment expenses that are regularly provided to the chief operating decision maker and included within segment profit and loss. The amendments will be effective for the Company's annual reporting periods beginning in fiscal year 2025 and for interim periods beginning in fiscal year 2026, with early adoption permitted, and will be applied retrospectively to all prior periods presented in the financial statements. The Company is currently evaluating the ASU to determine its impact on the Company's disclosures.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The Company is currently evaluating the ASU to determine its impact on the Company's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 xml:space="preserve">4. REVENUE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primarily from sales of the products of its brands through retail and wholesale channels, including e-commerce sites. The Company also generates revenue from royalties related to licensing its trademarks, as well as sales in ancillary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retail operations use sales incentive programs, such as customer loyalty programs and the issuance of coupons. Loyalty programs provide the customer a material right to acquire additional products and give rise to the Company having a separate performance obligation. Additionally, certain products sold by the Company include an assurance warranty that is not considered a separate performance obligation. These programs are immaterial individually and in the aggregate.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 wholesale locations, current market and economic conditions as well as, in select cases, contractual terms. The Company's historical estimates of these variable amounts have not differed materially from actual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 generating a contract asset or liability. Contract assets and liabilities and contract costs related to the licensing arrangements are immaterial as the licensing business represents approximately 1% of total net sales in the nine months ended March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practical expedients elected by the Company include (i) assuming no significant financing component exists for any contract with a duration of one year or less, (ii) accounting for shipping and handling as a fulfillment activity within SG&amp;A expense regardless of the timing of the shipment in relation to the transfer of control and (iii) excluding sales and value added tax from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Disaggregated Net Sales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Company's net sales into geographies that depict how economic factors may impact the revenues and cash flows for the periods presented. Each geography presented includes net sales related to the Company's directly operated channels, global travel retail business and to wholesale customers, including distributors, in locations within the specified geographic area.</w:t>
      </w:r>
    </w:p>
    <w:tbl>
      <w:tblPr>
        <w:tblW w:w="10205" w:type="dxa"/>
        <w:jc w:val="left"/>
        <w:tblInd w:w="0" w:type="dxa"/>
        <w:tblLayout w:type="fixed"/>
        <w:tblCellMar>
          <w:top w:w="28" w:type="dxa"/>
          <w:left w:w="28" w:type="dxa"/>
          <w:bottom w:w="28" w:type="dxa"/>
          <w:right w:w="28" w:type="dxa"/>
        </w:tblCellMar>
      </w:tblPr>
      <w:tblGrid>
        <w:gridCol w:w="1076"/>
        <w:gridCol w:w="912"/>
        <w:gridCol w:w="916"/>
        <w:gridCol w:w="255"/>
        <w:gridCol w:w="947"/>
        <w:gridCol w:w="131"/>
        <w:gridCol w:w="109"/>
        <w:gridCol w:w="109"/>
        <w:gridCol w:w="109"/>
        <w:gridCol w:w="313"/>
        <w:gridCol w:w="936"/>
        <w:gridCol w:w="161"/>
        <w:gridCol w:w="109"/>
        <w:gridCol w:w="109"/>
        <w:gridCol w:w="109"/>
        <w:gridCol w:w="254"/>
        <w:gridCol w:w="761"/>
        <w:gridCol w:w="130"/>
        <w:gridCol w:w="109"/>
        <w:gridCol w:w="109"/>
        <w:gridCol w:w="109"/>
        <w:gridCol w:w="211"/>
        <w:gridCol w:w="631"/>
        <w:gridCol w:w="109"/>
        <w:gridCol w:w="109"/>
        <w:gridCol w:w="109"/>
        <w:gridCol w:w="109"/>
        <w:gridCol w:w="211"/>
        <w:gridCol w:w="781"/>
        <w:gridCol w:w="162"/>
      </w:tblGrid>
      <w:tr>
        <w:trPr/>
        <w:tc>
          <w:tcPr>
            <w:tcW w:w="107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Greater China</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Other Asia</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Other</w:t>
            </w:r>
            <w:r>
              <w:rPr>
                <w:rFonts w:ascii="Times New Roman;sans-serif" w:hAnsi="Times New Roman;sans-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1"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March 30, 2024</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620.3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1,145.6</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Stuart Weitzman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56.1</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874.0</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234.9</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1,482.4</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Months Ended April 1, 2023</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Nine Months Ended March 30, 2024</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2,323.7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692.8</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585.9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3,844.9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1,044.3</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Stuart Weitzman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3,293.6</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780.2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689.3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5,080.1</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Nine Months Ended April 1, 2023</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Greater China includes mainland China, Hong Kong SAR and Macao SAR, and Taiwan.</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Other Asia includes Japan, Malaysia, Australia, New Zealand, Singapore, South Korea, and other countries within Asia.</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Other sales primarily represents sales in Europe, the Middle East and royalties earned from the Company's licensing partners.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results from cash payments received or receivable from customers prior to the transfer of the promised goods or services, and is generally comprised of unredeemed gift cards, net of breakage which has been recognized. Additional deferred revenue may result from sales-based royalty payments received or receivable which exceed the revenue recognized during the contractual period. The balance of such amounts as of March 30, 2024 and July 1, 2023 was $41.9 million and $43.0 million, respectively, which were primarily recorded within Accrued liabilities on the Company's Condensed Consolidated Balance Sheets and are generally expected to be recognized as revenue within a year. For the nine months ended March 30, 2024, net sales of $25.3 million were recognized from amounts recorded as deferred revenue as of July 1, 2023. For the nine months ended April 1, 2023, net sales of $20.4 million were recognized from amounts recorded as deferred revenue as of July 2,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 xml:space="preserve">5. ACQUISITIONS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2023, the Company entered into an Agreement and Plan of Merger (the "Merger Agreement") by and among the Company, Sunrise Merger Sub, Inc., a direct wholly owned subsidiary of Tapestry ("Merger Sub"), and Capri Holdings Limited ("Capri"). Under the terms of the Merger Agreement, Tapestry has agreed to acquire any and all of Capri’s ordinary shares (other than (a) Capri’s ordinary Shares that are issued and outstanding immediately prior to the consummation of the acquisition that are owned or held in treasury by the Company or by Capri or any of its direct or indirect subsidiaries and (b) Capri’s ordinary shares that are issued and outstanding immediately prior to the consummation of the acquisition that are held by holders who have properly exercised dissenters’ rights in accordance with, and who have complied with, Section 179 of the BVI Business Companies Act, 2004 (as amended) of the British Virgin Islands) in cash at a purchase price of $57.00 per share, without interest, subject to any required tax withholding as provided in the Merger Agreement. The enterprise value is expected to be approximately $8.5 billion and the transaction is expected to close during calendar year 2024 (the "Capri Acquisition"). On October 25, 2023, at a special meeting of Capri's shareholders, Capri's shareholders approved the Merger Agreement and the transactions contemplated thereby. The Company has received regulatory approval from all countries except for the United States. On April 22, 2024, the Federal Trade Commission ("FTC") filed a complaint against the Company and Capri in the United States District Court for the Southern District of New York seeking to enjoin the consummation of the Capri Acquisition. The FTC’s complaint alleges that the Capri Acquisition, if consummated, would violate Section 7 of the Clayton Act and that the Merger Agreement and the Capri Acquisition constitute unfair methods of competition in violation of Section 5 of the Federal Trade Commission Act and should be enjoined. The Company believes the FTC’s claims are without merit, and intends to defend the lawsuit vigorously. Refer to Note 16, "Subsequent Events," for further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finance the Capri Acquisition, inclusive of related fees and expenses, with the net proceeds of new senior unsecured notes, new term loans, cash on hand, cash on hand at Capri and anticipated future cash flow. On November 27, 2023, the Company issued $4.5 billion senior unsecured notes (the "Capri Acquisition USD Senior Notes") and €1.5 billion Euro-denominated senior unsecured notes (the "Capri Acquisition EUR Senior Notes" and, together with the Capri Acquisition USD Senior Notes, the "Capri Acquisition Senior Notes") which, in addition to the $1.4 billion of delayed draw unsecured term loan facilities (the "Capri Acquisition Term Loan Facilities") executed on August 30, 2023, completes the expected financing for the Capri Acquisition. Until the close of the transaction, the Company will maintain the proceeds from the issuance of the Capri Acquisition Senior Notes in Cash and cash equivalents and Short-term investments. Refer to Note 11, "Debt," for further information on our existing debt instruments related to the acquisition and Note 12, "Fair Value Measurements," and Notes 13, "Investments," for further detail on our cash equivalents and Short-term investments.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Capri Acquisition, during the three months ended March 30, 2024, the Company incurred $67.9 million in pre-tax expenses, primarily related to professional fees and financing-related expenses. During the nine months ended March 30, 2024, the Company incurred $166.6 million, in pre-tax expenses primarily related to financing-related expenses and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GOODWILL AND OTHER INTANGIBLE ASSETS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carrying amount of the Company’s goodwill by segment is as follows:</w:t>
      </w:r>
    </w:p>
    <w:tbl>
      <w:tblPr>
        <w:tblW w:w="8253" w:type="dxa"/>
        <w:jc w:val="left"/>
        <w:tblInd w:w="0" w:type="dxa"/>
        <w:tblLayout w:type="fixed"/>
        <w:tblCellMar>
          <w:top w:w="28" w:type="dxa"/>
          <w:left w:w="28" w:type="dxa"/>
          <w:bottom w:w="28" w:type="dxa"/>
          <w:right w:w="28" w:type="dxa"/>
        </w:tblCellMar>
      </w:tblPr>
      <w:tblGrid>
        <w:gridCol w:w="870"/>
        <w:gridCol w:w="762"/>
        <w:gridCol w:w="768"/>
        <w:gridCol w:w="211"/>
        <w:gridCol w:w="631"/>
        <w:gridCol w:w="109"/>
        <w:gridCol w:w="109"/>
        <w:gridCol w:w="109"/>
        <w:gridCol w:w="109"/>
        <w:gridCol w:w="236"/>
        <w:gridCol w:w="707"/>
        <w:gridCol w:w="122"/>
        <w:gridCol w:w="109"/>
        <w:gridCol w:w="109"/>
        <w:gridCol w:w="109"/>
        <w:gridCol w:w="496"/>
        <w:gridCol w:w="955"/>
        <w:gridCol w:w="259"/>
        <w:gridCol w:w="109"/>
        <w:gridCol w:w="109"/>
        <w:gridCol w:w="109"/>
        <w:gridCol w:w="211"/>
        <w:gridCol w:w="781"/>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Kate Spade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Stuart Weitzman</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impact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628.1</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1,216.5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Amount is net of accumulated goodwill impairment charges of $210.7 million as of March 30, 2024 and July 1, 2023.</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w:t>
      </w:r>
    </w:p>
    <w:tbl>
      <w:tblPr>
        <w:tblW w:w="10205" w:type="dxa"/>
        <w:jc w:val="left"/>
        <w:tblInd w:w="0" w:type="dxa"/>
        <w:tblLayout w:type="fixed"/>
        <w:tblCellMar>
          <w:top w:w="28" w:type="dxa"/>
          <w:left w:w="28" w:type="dxa"/>
          <w:bottom w:w="28" w:type="dxa"/>
          <w:right w:w="28" w:type="dxa"/>
        </w:tblCellMar>
      </w:tblPr>
      <w:tblGrid>
        <w:gridCol w:w="876"/>
        <w:gridCol w:w="762"/>
        <w:gridCol w:w="764"/>
        <w:gridCol w:w="211"/>
        <w:gridCol w:w="781"/>
        <w:gridCol w:w="109"/>
        <w:gridCol w:w="109"/>
        <w:gridCol w:w="109"/>
        <w:gridCol w:w="109"/>
        <w:gridCol w:w="211"/>
        <w:gridCol w:w="553"/>
        <w:gridCol w:w="109"/>
        <w:gridCol w:w="109"/>
        <w:gridCol w:w="109"/>
        <w:gridCol w:w="109"/>
        <w:gridCol w:w="211"/>
        <w:gridCol w:w="781"/>
        <w:gridCol w:w="109"/>
        <w:gridCol w:w="109"/>
        <w:gridCol w:w="109"/>
        <w:gridCol w:w="109"/>
        <w:gridCol w:w="211"/>
        <w:gridCol w:w="766"/>
        <w:gridCol w:w="109"/>
        <w:gridCol w:w="109"/>
        <w:gridCol w:w="109"/>
        <w:gridCol w:w="109"/>
        <w:gridCol w:w="211"/>
        <w:gridCol w:w="553"/>
        <w:gridCol w:w="109"/>
        <w:gridCol w:w="109"/>
        <w:gridCol w:w="109"/>
        <w:gridCol w:w="109"/>
        <w:gridCol w:w="211"/>
        <w:gridCol w:w="766"/>
        <w:gridCol w:w="157"/>
      </w:tblGrid>
      <w:tr>
        <w:trPr/>
        <w:tc>
          <w:tcPr>
            <w:tcW w:w="8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40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ans-serif" w:hAnsi="Times New Roman;sans-serif"/>
          <w:b w:val="false"/>
          <w:color w:val="000000"/>
          <w:sz w:val="20"/>
        </w:rPr>
        <w:t>Amortization expense for the Company’s definite-lived intangible assets for the three and nine months ended March 30, 2024 was $1.7 million and $4.9 million, respectively. Amortization expense for the Company’s definite-lived intangible assets for the three and nine months ended April 1, 2023 was $1.6 million and $4.9 million, respectively</w:t>
      </w:r>
      <w:r>
        <w:rPr>
          <w:rFonts w:ascii="Arial;sans-serif" w:hAnsi="Arial;sans-serif"/>
          <w:b w:val="false"/>
          <w:color w:val="000000"/>
          <w:sz w:val="18"/>
        </w:rPr>
        <w:t>.</w:t>
      </w:r>
    </w:p>
    <w:p>
      <w:pPr>
        <w:pStyle w:val="TextBody"/>
        <w:bidi w:val="0"/>
        <w:spacing w:lineRule="auto" w:line="288" w:before="140" w:after="283"/>
        <w:ind w:left="0" w:right="0" w:firstLine="36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30, 2024</w:t>
      </w:r>
      <w:r>
        <w:rPr>
          <w:rFonts w:ascii="Times New Roman;sans-serif" w:hAnsi="Times New Roman;sans-serif"/>
          <w:b w:val="false"/>
          <w:color w:val="000000"/>
          <w:sz w:val="20"/>
        </w:rPr>
        <w:t>, the expected amortization expense for intangible assets is as follows:</w:t>
      </w:r>
    </w:p>
    <w:tbl>
      <w:tblPr>
        <w:tblW w:w="4259" w:type="dxa"/>
        <w:jc w:val="left"/>
        <w:tblInd w:w="0" w:type="dxa"/>
        <w:tblLayout w:type="fixed"/>
        <w:tblCellMar>
          <w:top w:w="28" w:type="dxa"/>
          <w:left w:w="28" w:type="dxa"/>
          <w:bottom w:w="28" w:type="dxa"/>
          <w:right w:w="28" w:type="dxa"/>
        </w:tblCellMar>
      </w:tblPr>
      <w:tblGrid>
        <w:gridCol w:w="781"/>
        <w:gridCol w:w="687"/>
        <w:gridCol w:w="691"/>
        <w:gridCol w:w="496"/>
        <w:gridCol w:w="1239"/>
        <w:gridCol w:w="365"/>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Amortization Expense</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2024</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w:t>
            </w:r>
            <w:r>
              <w:rPr>
                <w:color w:val="000000"/>
              </w:rPr>
              <w:t> </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amortization expense above reflects remaining useful lives ranging from approximately 6.0 to 8.3 years for customer relationships.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stockholders' equity is presented below:</w:t>
      </w:r>
    </w:p>
    <w:tbl>
      <w:tblPr>
        <w:tblW w:w="10205" w:type="dxa"/>
        <w:jc w:val="left"/>
        <w:tblInd w:w="0" w:type="dxa"/>
        <w:tblLayout w:type="fixed"/>
        <w:tblCellMar>
          <w:top w:w="28" w:type="dxa"/>
          <w:left w:w="28" w:type="dxa"/>
          <w:bottom w:w="28" w:type="dxa"/>
          <w:right w:w="28" w:type="dxa"/>
        </w:tblCellMar>
      </w:tblPr>
      <w:tblGrid>
        <w:gridCol w:w="741"/>
        <w:gridCol w:w="441"/>
        <w:gridCol w:w="331"/>
        <w:gridCol w:w="295"/>
        <w:gridCol w:w="295"/>
        <w:gridCol w:w="296"/>
        <w:gridCol w:w="109"/>
        <w:gridCol w:w="109"/>
        <w:gridCol w:w="109"/>
        <w:gridCol w:w="263"/>
        <w:gridCol w:w="505"/>
        <w:gridCol w:w="146"/>
        <w:gridCol w:w="109"/>
        <w:gridCol w:w="109"/>
        <w:gridCol w:w="109"/>
        <w:gridCol w:w="197"/>
        <w:gridCol w:w="697"/>
        <w:gridCol w:w="112"/>
        <w:gridCol w:w="109"/>
        <w:gridCol w:w="109"/>
        <w:gridCol w:w="109"/>
        <w:gridCol w:w="292"/>
        <w:gridCol w:w="1057"/>
        <w:gridCol w:w="164"/>
        <w:gridCol w:w="109"/>
        <w:gridCol w:w="109"/>
        <w:gridCol w:w="109"/>
        <w:gridCol w:w="319"/>
        <w:gridCol w:w="929"/>
        <w:gridCol w:w="178"/>
        <w:gridCol w:w="109"/>
        <w:gridCol w:w="109"/>
        <w:gridCol w:w="109"/>
        <w:gridCol w:w="245"/>
        <w:gridCol w:w="866"/>
        <w:gridCol w:w="201"/>
      </w:tblGrid>
      <w:tr>
        <w:trPr/>
        <w:tc>
          <w:tcPr>
            <w:tcW w:w="7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of</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 /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w:t>
              <w:br/>
              <w:t>Equity</w:t>
            </w:r>
          </w:p>
        </w:tc>
      </w:tr>
      <w:tr>
        <w:trPr/>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 except per share data)</w:t>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July 2, 2022</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pursuant to stock-based compensation arrangements, net of shares withheld for taxes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($0.30 per share)</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October 1, 2022</w:t>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3,589.5 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2,255.4 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5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pursuant to stock-based compensation arrangements, net of shares withheld for taxes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($0.30 per share)</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5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186.7 </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pursuant to stock-based compensation arrangements, net of shares withheld for taxes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including excise tax</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($0.30 per share)</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April 1, 2023</w:t>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231.8 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3,649.2 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2,263.4 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770"/>
        <w:gridCol w:w="413"/>
        <w:gridCol w:w="336"/>
        <w:gridCol w:w="295"/>
        <w:gridCol w:w="295"/>
        <w:gridCol w:w="296"/>
        <w:gridCol w:w="109"/>
        <w:gridCol w:w="109"/>
        <w:gridCol w:w="109"/>
        <w:gridCol w:w="256"/>
        <w:gridCol w:w="512"/>
        <w:gridCol w:w="144"/>
        <w:gridCol w:w="109"/>
        <w:gridCol w:w="109"/>
        <w:gridCol w:w="109"/>
        <w:gridCol w:w="196"/>
        <w:gridCol w:w="706"/>
        <w:gridCol w:w="109"/>
        <w:gridCol w:w="109"/>
        <w:gridCol w:w="109"/>
        <w:gridCol w:w="109"/>
        <w:gridCol w:w="291"/>
        <w:gridCol w:w="1051"/>
        <w:gridCol w:w="163"/>
        <w:gridCol w:w="109"/>
        <w:gridCol w:w="109"/>
        <w:gridCol w:w="109"/>
        <w:gridCol w:w="319"/>
        <w:gridCol w:w="929"/>
        <w:gridCol w:w="178"/>
        <w:gridCol w:w="109"/>
        <w:gridCol w:w="109"/>
        <w:gridCol w:w="109"/>
        <w:gridCol w:w="242"/>
        <w:gridCol w:w="873"/>
        <w:gridCol w:w="196"/>
      </w:tblGrid>
      <w:tr>
        <w:trPr/>
        <w:tc>
          <w:tcPr>
            <w:tcW w:w="7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of</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 /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w:t>
              <w:br/>
              <w:t>Equity</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 except per share data)</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July 1, 2023</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227.4</w:t>
            </w: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(1,216.8)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(189.9)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2,277.8</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195.0</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195.0</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comprehensive income (loss)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34.6</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34.6</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issued, pursuant to stock-based compensation arrangements, net of shares withheld for taxes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Share-based compensation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Repurchase of common stock, including excise tax</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Dividends declared ($0.35 per share)</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229.2</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3,670.7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(1,102.0)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(155.3)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2,415.7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5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322.3</w:t>
            </w:r>
            <w:r>
              <w:rPr>
                <w:color w:val="000000"/>
              </w:rPr>
              <w:t>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322.3</w:t>
            </w: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comprehensive income (loss)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issued, pursuant to stock-based compensation arrangements, net of shares withheld for taxes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0.2</w:t>
            </w: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Share-based compensation</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Repurchase of common stock, including excise tax</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Dividends declared ($0.35 per share)</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30, 2023</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229.4</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3,695.8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(859.9)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(178.4)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2,659.8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5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139.4</w:t>
            </w:r>
            <w:r>
              <w:rPr>
                <w:color w:val="000000"/>
              </w:rPr>
              <w:t>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139.4</w:t>
            </w: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comprehensive income (loss)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21.2</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issued, pursuant to stock-based compensation arrangements, net of shares withheld for taxes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0.4</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11.6</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Share-based compensation</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23.6</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Repurchase of common stock, including excise tax</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Dividends declared ($0.35 per share)</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30, 2024</w:t>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229.8</w:t>
            </w: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3,731.0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(801.0)</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(157.2)</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2,775.1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("AOCI"), as of the dates indicated, are as follows:</w:t>
      </w:r>
    </w:p>
    <w:tbl>
      <w:tblPr>
        <w:tblW w:w="10205" w:type="dxa"/>
        <w:jc w:val="left"/>
        <w:tblInd w:w="0" w:type="dxa"/>
        <w:tblLayout w:type="fixed"/>
        <w:tblCellMar>
          <w:top w:w="28" w:type="dxa"/>
          <w:left w:w="28" w:type="dxa"/>
          <w:bottom w:w="28" w:type="dxa"/>
          <w:right w:w="28" w:type="dxa"/>
        </w:tblCellMar>
      </w:tblPr>
      <w:tblGrid>
        <w:gridCol w:w="1487"/>
        <w:gridCol w:w="1095"/>
        <w:gridCol w:w="1026"/>
        <w:gridCol w:w="448"/>
        <w:gridCol w:w="1123"/>
        <w:gridCol w:w="234"/>
        <w:gridCol w:w="109"/>
        <w:gridCol w:w="109"/>
        <w:gridCol w:w="109"/>
        <w:gridCol w:w="403"/>
        <w:gridCol w:w="805"/>
        <w:gridCol w:w="209"/>
        <w:gridCol w:w="109"/>
        <w:gridCol w:w="109"/>
        <w:gridCol w:w="109"/>
        <w:gridCol w:w="255"/>
        <w:gridCol w:w="765"/>
        <w:gridCol w:w="132"/>
        <w:gridCol w:w="109"/>
        <w:gridCol w:w="109"/>
        <w:gridCol w:w="109"/>
        <w:gridCol w:w="109"/>
        <w:gridCol w:w="109"/>
        <w:gridCol w:w="211"/>
        <w:gridCol w:w="652"/>
        <w:gridCol w:w="161"/>
      </w:tblGrid>
      <w:tr>
        <w:trPr/>
        <w:tc>
          <w:tcPr>
            <w:tcW w:w="14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Unrealized Gains (Losses) on Cash</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Flow</w:t>
            </w:r>
          </w:p>
          <w:p>
            <w:pPr>
              <w:pStyle w:val="TableContents"/>
              <w:bidi w:val="0"/>
              <w:spacing w:lineRule="auto" w:line="240" w:before="0" w:after="0"/>
              <w:jc w:val="center"/>
              <w:rPr/>
            </w:pPr>
            <w:r>
              <w:rPr>
                <w:rFonts w:ascii="Times New Roman;sans-serif" w:hAnsi="Times New Roman;sans-serif"/>
                <w:b/>
                <w:color w:val="000000"/>
                <w:sz w:val="20"/>
              </w:rPr>
              <w:t>Hedging Derivatives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br/>
              <w:t>(Losses) on Available-</w:t>
              <w:br/>
              <w:t>for-Sale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Cumulative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Translation</w:t>
            </w:r>
          </w:p>
          <w:p>
            <w:pPr>
              <w:pStyle w:val="TableContents"/>
              <w:bidi w:val="0"/>
              <w:spacing w:lineRule="auto" w:line="240" w:before="0" w:after="0"/>
              <w:jc w:val="center"/>
              <w:rPr/>
            </w:pPr>
            <w:r>
              <w:rPr>
                <w:rFonts w:ascii="Times New Roman;sans-serif" w:hAnsi="Times New Roman;sans-serif"/>
                <w:b/>
                <w:color w:val="000000"/>
                <w:sz w:val="20"/>
              </w:rPr>
              <w:t>Adjustment</w:t>
            </w:r>
            <w:r>
              <w:rPr>
                <w:rFonts w:ascii="Times New Roman;sans-serif" w:hAnsi="Times New Roman;sans-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6"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c>
          <w:tcPr>
            <w:tcW w:w="1351" w:type="dxa"/>
            <w:gridSpan w:val="6"/>
            <w:tcBorders/>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July 2, 2022</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reclassified from accumulated other comprehensive income to earnings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at April 1, 2023</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July 1, 2023</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(224.8)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 before reclassifications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amounts reclassified from accumulated other comprehensive income to earnings</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32.7</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30, 2024</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47.1</w:t>
            </w: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(204.3)</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(157.2)</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The ending balances of AOCI related to cash flow hedges are net of tax of $(2.3) million and $(0.3) million as of March 30, 2024 and April 1, 2023, respectively. The amounts reclassified from AOCI are net of tax of $0.5 million and $1.2 million as of March 30, 2024 and April 1, 2023, respectively.</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The ending balances of AOCI related to foreign currency translation adjustments includes a loss of $11.5 million, net of tax of $1.3 million, and a loss of $68.8 million, net of tax of $2.4 million, as of March 30, 2024 and April 1, 2023, respectively, related to changes in the fair values of instruments designated as hedges of the Company's net investment in certain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DERIVATIVE INSTRUMENTS AND HEDGING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purchases of finished goods are denominated in U.S. dollars, which limits the Company’s exposure to the transactional effects of foreign currency exchange rate fluctuations. However, the Company is exposed to foreign currency exchange risk related to its sale of U.S. dollar inventory to foreign operating subsidiaries in local currency, as well as risk related to various cross-currency intercompany loans and payables, and translation risk. The Company is also exposed to foreign currency risk related to changes in the U.S. dollar value of its net investment in foreign subsidiaries and interest rate risk attributed to changes in the benchmark interest rates on the Company's debt obligations, including future issuances. The Company uses derivative financial instruments to manage these risks. These derivative transactions are in accordance with the Company’s risk management policies. The Company does not enter into derivative transactions for speculative or trading purposes.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all derivative contracts at fair value on the Condensed Consolidated Balance Sheets. The fair values of foreign currency derivatives and interest rate derivatives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cash flow derivative instruments that qualify for hedge accounting, the changes in the fair value of these instruments are recognized as a component of AOCI until the hedged item is recognized in earnings. For derivative instruments that are designated as a net investment hedge, the changes in the fair value of the instruments are recognized as a component of AOCI, and upon discontinuation of the hedge remain in AOCI until the net investment is sold or liquidated.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derivative instrument entered into by the Company that qualifies for hedge accounting is expected to be highly effective at reducing the risk associated with the exposure being hedged. For each derivative that is designated as a hedge, the Company documents the related risk management objective and strategy, including identification of the hedging instrument, the hedged item and the risk exposure, as well as how hedge effectiveness will be assessed over the term of the instrument. The extent to which a hedging instrument has been and is expected to remain highly effective in achieving offsetting changes in fair value or cash flows is assessed and documented by the Company on at least a quarterly basis.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it is determined that a derivative instrument has not been highly effective and will continue not to be highly effective in hedging the designated exposure, hedge accounting is discontinued, and further gains (losses) are recognized in earnings within foreign currency gains (losses) or interest income (expense). Upon discontinuance of hedge accounting, the cumulative change in fair value of cash flow derivatives previously recorded in AOCI is recognized in earnings when the related hedged item affects earnings, consistent with the original hedging strategy, unless the forecasted transaction is no longer probable of occurring, in which case the accumulated amount is immediately recognized in earnings within foreign currency gains (losses) or interest income (expense).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foreign currency derivative instruments which are not designated as hedges, the changes in fair value of the instruments are recorded through earnings. These changes generally offset the revaluation of certain underlying assets and liabilities.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use of derivative instruments, the Company may be exposed to the risk that the counterparties to such contacts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instruments are recorded on its Condensed Consolidated Balance Sheets on a gross basis. For cash flow reporting purposes, the Company classifies proceeds received or amounts paid upon the settlement of a derivative instrument in the same manner as the related item being hedged, primarily within cash from operating activities.</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Hedging Portfolio</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forward currency contracts primarily to reduce its risks related to exchange rate fluctuations on foreign currency denominated inventory transactions, as well as various cross-currency intercompany loans and payables. This primarily includes exposure to exchange rate fluctuations in the Japanese Yen, the Chinese Renminbi and the Euro. To the extent its derivative contracts designated as cash flow hedges are highly effective in offsetting changes in the value of the hedged items, the related gains (losses) are initially deferred in AOCI and subsequently recognized in the Consolidated Statements of Operations as part of the cost of the inventory purchases being hedged within Cost of sales, when the related inventory is sold to a third party. Current maturity dates range from April 2024 to December 2025. Forward foreign currency exchange contracts which are not designated as hedges of intercompany and other contractual obligations are recognized within Other expense (income) on the Company's Condensed Consolidated Statement of Operations. The maturity date of most instruments held as of March 30, 2024 are in May 2024, and such contracts are typically renewed upon maturity if the related balance has not been settled.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2024, the Company also entered into interest rate derivative contracts to reduce its risks related to changes in the benchmark interest rates on its debt obligations. Any premiums related to these instruments were excluded from the Company's measurement of hedge effectiveness, and were amortized over the period between the hedge execution and the contract maturity. The related gains (losses) were initially deferred in AOCI and are subsequently recognized in the Consolidated Statements of Operations as interest income (expense) in the same periods during which the hedged interest payments associated with the Company’s borrowings are recorded in earnings. As of March 30, 2024, there were no interest rate derivative contracts outstanding.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enters into cross-currency swaps to reduce its risks related to exchange rate fluctuations on net investments in foreign subsidiaries, including our net investment in Euro-denominated subsidiaries and Japanese Yen-denominated subsidiaries against future volatility in the exchange rates between the United States dollar and their local currencies. The related gains (losses) are deferred in AOCI until the net investment is sold or liquidated, and current maturity dates range from April 2025 to March 2032.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related to the Company's derivative instruments recorded on the Company's Condensed Consolidated Balance Sheets as of March 30, 2024 and July 1, 2023:</w:t>
      </w:r>
    </w:p>
    <w:tbl>
      <w:tblPr>
        <w:tblW w:w="11898" w:type="dxa"/>
        <w:jc w:val="center"/>
        <w:tblInd w:w="0" w:type="dxa"/>
        <w:tblLayout w:type="fixed"/>
        <w:tblCellMar>
          <w:top w:w="28" w:type="dxa"/>
          <w:left w:w="28" w:type="dxa"/>
          <w:bottom w:w="28" w:type="dxa"/>
          <w:right w:w="28" w:type="dxa"/>
        </w:tblCellMar>
      </w:tblPr>
      <w:tblGrid>
        <w:gridCol w:w="700"/>
        <w:gridCol w:w="325"/>
        <w:gridCol w:w="326"/>
        <w:gridCol w:w="211"/>
        <w:gridCol w:w="781"/>
        <w:gridCol w:w="109"/>
        <w:gridCol w:w="109"/>
        <w:gridCol w:w="109"/>
        <w:gridCol w:w="109"/>
        <w:gridCol w:w="211"/>
        <w:gridCol w:w="766"/>
        <w:gridCol w:w="109"/>
        <w:gridCol w:w="109"/>
        <w:gridCol w:w="109"/>
        <w:gridCol w:w="109"/>
        <w:gridCol w:w="410"/>
        <w:gridCol w:w="410"/>
        <w:gridCol w:w="411"/>
        <w:gridCol w:w="109"/>
        <w:gridCol w:w="109"/>
        <w:gridCol w:w="109"/>
        <w:gridCol w:w="211"/>
        <w:gridCol w:w="631"/>
        <w:gridCol w:w="109"/>
        <w:gridCol w:w="109"/>
        <w:gridCol w:w="109"/>
        <w:gridCol w:w="109"/>
        <w:gridCol w:w="211"/>
        <w:gridCol w:w="511"/>
        <w:gridCol w:w="109"/>
        <w:gridCol w:w="109"/>
        <w:gridCol w:w="109"/>
        <w:gridCol w:w="109"/>
        <w:gridCol w:w="410"/>
        <w:gridCol w:w="410"/>
        <w:gridCol w:w="411"/>
        <w:gridCol w:w="109"/>
        <w:gridCol w:w="109"/>
        <w:gridCol w:w="109"/>
        <w:gridCol w:w="211"/>
        <w:gridCol w:w="631"/>
        <w:gridCol w:w="109"/>
        <w:gridCol w:w="109"/>
        <w:gridCol w:w="109"/>
        <w:gridCol w:w="109"/>
        <w:gridCol w:w="211"/>
        <w:gridCol w:w="511"/>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(millions)</w:t>
            </w:r>
          </w:p>
        </w:tc>
      </w:tr>
      <w:tr>
        <w:trPr/>
        <w:tc>
          <w:tcPr>
            <w:tcW w:w="11898"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Designated hedge instruments:</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FC - Inventory purchases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CCS - Net investment hedges</w:t>
            </w:r>
            <w:r>
              <w:rPr>
                <w:rFonts w:ascii="Times New Roman;sans-serif" w:hAnsi="Times New Roman;sans-serif"/>
                <w:b w:val="false"/>
                <w:color w:val="000000"/>
                <w:sz w:val="13"/>
              </w:rPr>
              <w:t>(2)</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designated hedge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98"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Undesignated hedging instruments:</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FC - Intercompany liabilities and loans</w:t>
            </w:r>
            <w:r>
              <w:rPr>
                <w:rFonts w:ascii="Times New Roman;sans-serif" w:hAnsi="Times New Roman;sans-serif"/>
                <w:b w:val="false"/>
                <w:color w:val="000000"/>
                <w:sz w:val="13"/>
              </w:rPr>
              <w:t>(3)</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Hedges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2,269.0</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150.3</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139.0</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forward foreign currency exchange contracts ("FC") designated as derivative instruments in cash flow hedging relationships.</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cross currency swap contracts ("CCS") designated as derivative instruments in net investment hedging relationships.</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forward foreign currency exchange contracts ("FC") not designated as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 xml:space="preserve">The following tables provides the pretax impact of gains and losses from the Company's designated derivative instruments on its Condensed Consolidated Financial Statements as of March 30, 2024 and </w:t>
      </w:r>
      <w:r>
        <w:rPr>
          <w:rFonts w:ascii="Times New Roman;sans-serif" w:hAnsi="Times New Roman;sans-serif"/>
          <w:b w:val="false"/>
          <w:color w:val="000000"/>
          <w:sz w:val="20"/>
          <w:shd w:fill="FFFFFF" w:val="clear"/>
        </w:rPr>
        <w:t>April 1, 2023:</w:t>
      </w:r>
    </w:p>
    <w:tbl>
      <w:tblPr>
        <w:tblW w:w="7639" w:type="dxa"/>
        <w:jc w:val="left"/>
        <w:tblInd w:w="0" w:type="dxa"/>
        <w:tblLayout w:type="fixed"/>
        <w:tblCellMar>
          <w:top w:w="28" w:type="dxa"/>
          <w:left w:w="28" w:type="dxa"/>
          <w:bottom w:w="28" w:type="dxa"/>
          <w:right w:w="28" w:type="dxa"/>
        </w:tblCellMar>
      </w:tblPr>
      <w:tblGrid>
        <w:gridCol w:w="770"/>
        <w:gridCol w:w="678"/>
        <w:gridCol w:w="681"/>
        <w:gridCol w:w="109"/>
        <w:gridCol w:w="109"/>
        <w:gridCol w:w="109"/>
        <w:gridCol w:w="499"/>
        <w:gridCol w:w="1245"/>
        <w:gridCol w:w="258"/>
        <w:gridCol w:w="258"/>
        <w:gridCol w:w="258"/>
        <w:gridCol w:w="258"/>
        <w:gridCol w:w="499"/>
        <w:gridCol w:w="1387"/>
        <w:gridCol w:w="258"/>
        <w:gridCol w:w="109"/>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Amount of Gain (Loss) Recognized in OCI on Derivatives</w:t>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Inventory purchases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35.9</w:t>
            </w: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w:t>
            </w: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investment hedges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w:t>
            </w: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w:t>
            </w: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67.6</w:t>
            </w:r>
            <w:r>
              <w:rPr>
                <w:color w:val="000000"/>
              </w:rPr>
              <w:t> </w:t>
            </w:r>
          </w:p>
        </w:tc>
        <w:tc>
          <w:tcPr>
            <w:tcW w:w="2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2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tbl>
      <w:tblPr>
        <w:tblW w:w="10020" w:type="dxa"/>
        <w:jc w:val="left"/>
        <w:tblInd w:w="0" w:type="dxa"/>
        <w:tblLayout w:type="fixed"/>
        <w:tblCellMar>
          <w:top w:w="28" w:type="dxa"/>
          <w:left w:w="28" w:type="dxa"/>
          <w:bottom w:w="28" w:type="dxa"/>
          <w:right w:w="28" w:type="dxa"/>
        </w:tblCellMar>
      </w:tblPr>
      <w:tblGrid>
        <w:gridCol w:w="694"/>
        <w:gridCol w:w="611"/>
        <w:gridCol w:w="614"/>
        <w:gridCol w:w="109"/>
        <w:gridCol w:w="109"/>
        <w:gridCol w:w="109"/>
        <w:gridCol w:w="714"/>
        <w:gridCol w:w="714"/>
        <w:gridCol w:w="716"/>
        <w:gridCol w:w="254"/>
        <w:gridCol w:w="254"/>
        <w:gridCol w:w="254"/>
        <w:gridCol w:w="492"/>
        <w:gridCol w:w="1228"/>
        <w:gridCol w:w="254"/>
        <w:gridCol w:w="254"/>
        <w:gridCol w:w="254"/>
        <w:gridCol w:w="254"/>
        <w:gridCol w:w="492"/>
        <w:gridCol w:w="1123"/>
        <w:gridCol w:w="254"/>
        <w:gridCol w:w="109"/>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Amount of Gain (Loss) Reclassified from Accumulated OCI into Income</w:t>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w:t>
              <w:br/>
              <w:t>Classification</w:t>
            </w:r>
          </w:p>
        </w:tc>
        <w:tc>
          <w:tcPr>
            <w:tcW w:w="762"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62"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Inventory purchases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w:t>
            </w: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hedges</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w:t>
            </w:r>
            <w:r>
              <w:rPr>
                <w:color w:val="000000"/>
              </w:rPr>
              <w:t>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forward foreign currency exchange contracts ("FC") designated as derivative instruments in cash flow hedging relationships.</w:t>
      </w:r>
    </w:p>
    <w:p>
      <w:pPr>
        <w:pStyle w:val="TextBody"/>
        <w:bidi w:val="0"/>
        <w:spacing w:lineRule="auto" w:line="288" w:before="120" w:after="2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forward interest rate contracts ("IC") designated as derivative instruments in cash flow hedging relationships.</w:t>
      </w:r>
    </w:p>
    <w:p>
      <w:pPr>
        <w:pStyle w:val="TextBody"/>
        <w:bidi w:val="0"/>
        <w:spacing w:lineRule="auto" w:line="288" w:before="120" w:after="2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cross currency swap contracts ("CCS") designated as derivative instruments in net investment hedging relationships, for which the difference between changes in fair value and periodic amortization of excluded components is recorded within AOCI.</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$42.1 million of net derivative gain related to inventory purchases and interest rates included in Accumulated other comprehensive income at March 30, 2024 will be reclassified into earnings within the next 12 months. This amount will vary due to fluctuations in foreign currency exchange rates and benchmark interest rates.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cross-currency swaps used as net investment hedges under the spot method. This results in the cross-currency basis spread being excluded from the assessment of hedge effectiveness and recorded as incurred as a reduction in interest expense in the Company’s consolidated statements of operations. Accordingly, the Company recorded net interest income of $21.8 million and $21.2 million during the nine months ended March 30, 2024 and April 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30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9. EARNINGS PER SHARE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weighted-average shares outstanding and calculation of basic and diluted earnings per share:</w:t>
      </w:r>
    </w:p>
    <w:tbl>
      <w:tblPr>
        <w:tblW w:w="7740" w:type="dxa"/>
        <w:jc w:val="left"/>
        <w:tblInd w:w="0" w:type="dxa"/>
        <w:tblLayout w:type="fixed"/>
        <w:tblCellMar>
          <w:top w:w="28" w:type="dxa"/>
          <w:left w:w="28" w:type="dxa"/>
          <w:bottom w:w="28" w:type="dxa"/>
          <w:right w:w="28" w:type="dxa"/>
        </w:tblCellMar>
      </w:tblPr>
      <w:tblGrid>
        <w:gridCol w:w="1045"/>
        <w:gridCol w:w="919"/>
        <w:gridCol w:w="930"/>
        <w:gridCol w:w="216"/>
        <w:gridCol w:w="647"/>
        <w:gridCol w:w="111"/>
        <w:gridCol w:w="109"/>
        <w:gridCol w:w="109"/>
        <w:gridCol w:w="109"/>
        <w:gridCol w:w="211"/>
        <w:gridCol w:w="616"/>
        <w:gridCol w:w="109"/>
        <w:gridCol w:w="109"/>
        <w:gridCol w:w="109"/>
        <w:gridCol w:w="109"/>
        <w:gridCol w:w="216"/>
        <w:gridCol w:w="647"/>
        <w:gridCol w:w="111"/>
        <w:gridCol w:w="109"/>
        <w:gridCol w:w="109"/>
        <w:gridCol w:w="109"/>
        <w:gridCol w:w="211"/>
        <w:gridCol w:w="616"/>
        <w:gridCol w:w="154"/>
      </w:tblGrid>
      <w:tr>
        <w:trPr/>
        <w:tc>
          <w:tcPr>
            <w:tcW w:w="104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 except per share data)</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Weighted-average basic shares </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securities: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diluted shares</w:t>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234.2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0.60</w:t>
            </w:r>
            <w:r>
              <w:rPr>
                <w:color w:val="000000"/>
              </w:rPr>
              <w:t>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 (ii) would be considered satisfied if the end of the reporting period were the end of the related contingency period and the result would be dilutive under the treasury stock method. As of March 30, 2024 and April 1, 2023, there were 0.2 million and 2.0 million, respectively, of additional shares issuable upon exercise of anti-dilutive options and contingent vesting of performance-based restricted stock unit awards, which were excluded from the diluted share calculations.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10. SHARE-BASED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share-based compensation expense and the related tax benefits recognized in the Company's Condensed Consolidated Statements of Operations for the periods indicated:</w:t>
      </w:r>
    </w:p>
    <w:tbl>
      <w:tblPr>
        <w:tblW w:w="9961" w:type="dxa"/>
        <w:jc w:val="left"/>
        <w:tblInd w:w="0" w:type="dxa"/>
        <w:tblLayout w:type="fixed"/>
        <w:tblCellMar>
          <w:top w:w="28" w:type="dxa"/>
          <w:left w:w="28" w:type="dxa"/>
          <w:bottom w:w="28" w:type="dxa"/>
          <w:right w:w="28" w:type="dxa"/>
        </w:tblCellMar>
      </w:tblPr>
      <w:tblGrid>
        <w:gridCol w:w="1930"/>
        <w:gridCol w:w="1693"/>
        <w:gridCol w:w="1702"/>
        <w:gridCol w:w="243"/>
        <w:gridCol w:w="606"/>
        <w:gridCol w:w="125"/>
        <w:gridCol w:w="109"/>
        <w:gridCol w:w="109"/>
        <w:gridCol w:w="109"/>
        <w:gridCol w:w="211"/>
        <w:gridCol w:w="511"/>
        <w:gridCol w:w="109"/>
        <w:gridCol w:w="109"/>
        <w:gridCol w:w="109"/>
        <w:gridCol w:w="109"/>
        <w:gridCol w:w="243"/>
        <w:gridCol w:w="606"/>
        <w:gridCol w:w="125"/>
        <w:gridCol w:w="109"/>
        <w:gridCol w:w="109"/>
        <w:gridCol w:w="109"/>
        <w:gridCol w:w="211"/>
        <w:gridCol w:w="511"/>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65.8</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share-based compensation expense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during the nine months ended March 30, 2024 is as follows:</w:t>
      </w:r>
    </w:p>
    <w:tbl>
      <w:tblPr>
        <w:tblW w:w="4149" w:type="dxa"/>
        <w:jc w:val="left"/>
        <w:tblInd w:w="0" w:type="dxa"/>
        <w:tblLayout w:type="fixed"/>
        <w:tblCellMar>
          <w:top w:w="28" w:type="dxa"/>
          <w:left w:w="28" w:type="dxa"/>
          <w:bottom w:w="28" w:type="dxa"/>
          <w:right w:w="28" w:type="dxa"/>
        </w:tblCellMar>
      </w:tblPr>
      <w:tblGrid>
        <w:gridCol w:w="995"/>
        <w:gridCol w:w="872"/>
        <w:gridCol w:w="878"/>
        <w:gridCol w:w="380"/>
        <w:gridCol w:w="380"/>
        <w:gridCol w:w="381"/>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w:t>
              <w:br/>
              <w:t>Options</w:t>
              <w:br/>
              <w:t>Outstanding</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July 1, 2023</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Exercised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 or expired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March 30, 2024</w:t>
            </w:r>
          </w:p>
        </w:tc>
        <w:tc>
          <w:tcPr>
            <w:tcW w:w="7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w:t>
            </w:r>
            <w:r>
              <w:rPr>
                <w:color w:val="000000"/>
              </w:rPr>
              <w:t>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nine months ended March 30, 2024 and April 1, 2023 was $10.35 and $12.03, respectively. The fair value of each option grant is estimated on the date of grant using the Black-Scholes option pricing model and the following weighted-average assumptions:</w:t>
      </w:r>
    </w:p>
    <w:tbl>
      <w:tblPr>
        <w:tblW w:w="4261" w:type="dxa"/>
        <w:jc w:val="left"/>
        <w:tblInd w:w="0" w:type="dxa"/>
        <w:tblLayout w:type="fixed"/>
        <w:tblCellMar>
          <w:top w:w="28" w:type="dxa"/>
          <w:left w:w="28" w:type="dxa"/>
          <w:bottom w:w="28" w:type="dxa"/>
          <w:right w:w="28" w:type="dxa"/>
        </w:tblCellMar>
      </w:tblPr>
      <w:tblGrid>
        <w:gridCol w:w="679"/>
        <w:gridCol w:w="597"/>
        <w:gridCol w:w="599"/>
        <w:gridCol w:w="263"/>
        <w:gridCol w:w="263"/>
        <w:gridCol w:w="568"/>
        <w:gridCol w:w="109"/>
        <w:gridCol w:w="109"/>
        <w:gridCol w:w="109"/>
        <w:gridCol w:w="255"/>
        <w:gridCol w:w="256"/>
        <w:gridCol w:w="4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w:t>
            </w: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w:t>
            </w: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w:t>
            </w: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Service-based Restricted Stock Unit Awards ("RSUs")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service-based RSU activity during the nine months ended March 30, 2024 is as follows:</w:t>
      </w:r>
    </w:p>
    <w:tbl>
      <w:tblPr>
        <w:tblW w:w="4431" w:type="dxa"/>
        <w:jc w:val="left"/>
        <w:tblInd w:w="0" w:type="dxa"/>
        <w:tblLayout w:type="fixed"/>
        <w:tblCellMar>
          <w:top w:w="28" w:type="dxa"/>
          <w:left w:w="28" w:type="dxa"/>
          <w:bottom w:w="28" w:type="dxa"/>
          <w:right w:w="28" w:type="dxa"/>
        </w:tblCellMar>
      </w:tblPr>
      <w:tblGrid>
        <w:gridCol w:w="957"/>
        <w:gridCol w:w="838"/>
        <w:gridCol w:w="844"/>
        <w:gridCol w:w="509"/>
        <w:gridCol w:w="509"/>
        <w:gridCol w:w="511"/>
        <w:gridCol w:w="109"/>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Non-vested RSUs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July 1, 2023</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March 30, 2024</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w:t>
            </w:r>
            <w:r>
              <w:rPr>
                <w:color w:val="000000"/>
              </w:rPr>
              <w:t>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share awards granted during the nine months ended March 30, 2024 and April 1, 2023 was $33.14 and $35.32,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 Awards ("PRSUs")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PRSU activity during the nine months ended March 30, 2024 is as follows:</w:t>
      </w:r>
    </w:p>
    <w:tbl>
      <w:tblPr>
        <w:tblW w:w="6322" w:type="dxa"/>
        <w:jc w:val="left"/>
        <w:tblInd w:w="0" w:type="dxa"/>
        <w:tblLayout w:type="fixed"/>
        <w:tblCellMar>
          <w:top w:w="28" w:type="dxa"/>
          <w:left w:w="28" w:type="dxa"/>
          <w:bottom w:w="28" w:type="dxa"/>
          <w:right w:w="28" w:type="dxa"/>
        </w:tblCellMar>
      </w:tblPr>
      <w:tblGrid>
        <w:gridCol w:w="1599"/>
        <w:gridCol w:w="1401"/>
        <w:gridCol w:w="1410"/>
        <w:gridCol w:w="549"/>
        <w:gridCol w:w="549"/>
        <w:gridCol w:w="551"/>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w:t>
              <w:br/>
              <w:t>Non-vested PRSUs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July 1, 2023</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due to performance condition achievement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March 30, 2024</w:t>
            </w:r>
          </w:p>
        </w:tc>
        <w:tc>
          <w:tcPr>
            <w:tcW w:w="1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w:t>
            </w:r>
            <w:r>
              <w:rPr>
                <w:color w:val="000000"/>
              </w:rPr>
              <w:t>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PRSU awards included in the non-vested amount are based on certain Company-specific financial metrics. The effect of the change due to performance condition on the non-vested amount is recognized at the conclusion of the performance period, which may differ from the date on which the award vests.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per share of PRSU awards granted during the nine months ended March 30, 2024 and April 1, 2023 was $33.83 and $35.37,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132"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the Company’s outstanding debt:</w:t>
      </w:r>
    </w:p>
    <w:tbl>
      <w:tblPr>
        <w:tblW w:w="8214" w:type="dxa"/>
        <w:jc w:val="center"/>
        <w:tblInd w:w="0" w:type="dxa"/>
        <w:tblLayout w:type="fixed"/>
        <w:tblCellMar>
          <w:top w:w="28" w:type="dxa"/>
          <w:left w:w="28" w:type="dxa"/>
          <w:bottom w:w="28" w:type="dxa"/>
          <w:right w:w="28" w:type="dxa"/>
        </w:tblCellMar>
      </w:tblPr>
      <w:tblGrid>
        <w:gridCol w:w="2049"/>
        <w:gridCol w:w="1796"/>
        <w:gridCol w:w="1810"/>
        <w:gridCol w:w="211"/>
        <w:gridCol w:w="781"/>
        <w:gridCol w:w="109"/>
        <w:gridCol w:w="109"/>
        <w:gridCol w:w="109"/>
        <w:gridCol w:w="109"/>
        <w:gridCol w:w="211"/>
        <w:gridCol w:w="766"/>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w:t>
              <w:br/>
              <w:t>2023</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debt:</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USD Senior Notes: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2025</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7.050% Senior Notes due 2025</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7.000% Senior Notes due 2026</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Senior Notes due 2027</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7.350% Senior Notes due 2028</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7.700% Senior Notes due 2030</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3.050% Senior Notes due 2032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7.850% Senior Notes due 2033</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EUR Senior Notes: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5.350% EUR Senior Notes due 2025</w:t>
            </w:r>
            <w:r>
              <w:rPr>
                <w:rFonts w:ascii="Times New Roman;sans-serif" w:hAnsi="Times New Roman;sans-serif"/>
                <w:b w:val="false"/>
                <w:color w:val="000000"/>
                <w:sz w:val="13"/>
              </w:rPr>
              <w:t>(1)</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5.375% EUR Senior Notes due 2027</w:t>
            </w:r>
            <w:r>
              <w:rPr>
                <w:rFonts w:ascii="Times New Roman;sans-serif" w:hAnsi="Times New Roman;sans-serif"/>
                <w:b w:val="false"/>
                <w:color w:val="000000"/>
                <w:sz w:val="13"/>
              </w:rPr>
              <w:t>(1)</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5.875% EUR Senior Notes due 2031</w:t>
            </w:r>
            <w:r>
              <w:rPr>
                <w:rFonts w:ascii="Times New Roman;sans-serif" w:hAnsi="Times New Roman;sans-serif"/>
                <w:b w:val="false"/>
                <w:color w:val="000000"/>
                <w:sz w:val="13"/>
              </w:rPr>
              <w:t>(1)</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7,743.5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costs on Senior Notes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7,673.7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 carrying amounts of the Capri Acquisition EUR Senior</w:t>
      </w:r>
      <w:r>
        <w:rPr>
          <w:color w:val="000000"/>
        </w:rPr>
        <w:t xml:space="preserve"> </w:t>
      </w:r>
      <w:r>
        <w:rPr>
          <w:rFonts w:ascii="Times New Roman;sans-serif" w:hAnsi="Times New Roman;sans-serif"/>
          <w:b w:val="false"/>
          <w:color w:val="000000"/>
          <w:sz w:val="20"/>
        </w:rPr>
        <w:t>Notes (as defined below) include the impact of changes in the exchange rate of the United States Dollar against the Euro.</w:t>
      </w:r>
    </w:p>
    <w:p>
      <w:pPr>
        <w:pStyle w:val="TextBody"/>
        <w:bidi w:val="0"/>
        <w:spacing w:lineRule="auto" w:line="288" w:before="8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March 30, 2024, the Company recognized interest expense related to its debt of $130.1 million and $241.0 million, respectively, which is inclusive of $0.0 million and $28.5 million, respectively, related to Bridge Facility (as defined below) financing fees. During the three and nine months ended April 1, 2023, the Company recognized interest expense related to its debt of $19.0 million and $53.4 million, respectively.</w:t>
      </w:r>
    </w:p>
    <w:p>
      <w:pPr>
        <w:pStyle w:val="TextBody"/>
        <w:bidi w:val="0"/>
        <w:spacing w:lineRule="auto" w:line="288" w:before="8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Capri Holdings Limited Acquisition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finance the Capri Acquisition, inclusive of related fees and expenses, with the net proceeds of new senior unsecured notes, new term loans, cash on hand, cash on hand at Capri and anticipated future cash flow. On November 27, 2023, the Company issued $4.5 billion Capri Acquisition USD Senior Notes and €1.5 billion Capri Acquisition EUR Senior Notes which, in addition to the $1.4 billion of delayed draw Capri Acquisition Term Loan Facilities executed on August 30, 2023, complete the expected financing for the Capri Acquisition. Refer to Note 5, "Acquisitions,"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Bridge Facility</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entry into the Merger Agreement, the Company entered into a commitment letter, dated as of August 10, 2023, with Bank of America, N.A., Morgan Stanley Senior Funding, Inc. and the other commitment parties party thereto, to provide a 364-day senior unsecured bridge loan facility in an aggregate principal amount of up to $8.0 billion (the "Bridge Facility") to fund the purchase price of the Capri Acquisition and to pay related fees and expenses. Upon entering into the Capri Acquisition Term Loan Agreement (as defined below) and, as a result of the commitments thereunder with respect to the Capri Acquisition Term Loan Facilities (as defined below), the Bridge Facility commitments were reduced to $6.6 billion. In November 2023, the Bridge Facility was terminated upon the issuance of approximately $6.1 billion of the Capri Acquisition Senior Notes by the Company. Refer to the "Capri Acquisition USD Senior Notes" and "Capri Acquisition EUR Senior Notes" paragraphs below. </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Capri Acquisition Term Loan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the Company entered into a definitive credit agreement (such agreement, the "Capri Acquisition Term Loan Credit Agreement") whereby Bank of America, N.A, as administrative agent, and the other agents party thereto, and a syndicate of banks and financial institutions have committed to lend the Company, subject to the satisfaction or waiver of the conditions set forth in the Term Loan Agreement, a $1.05 billion unsecured term loan facility maturing three years after the term loans thereunder are borrowed (the “Three-Year Term Loan Facility”) and a $350 million term loan facility maturing five years after the term loans thereunder are borrowed (the “Five-Year Term Loan Facility”; and collectively with the Three-Year Term Loan Facility, the “Capri Acquisition Term Loan Facilities”). The Company plans to use borrowings under the Capri Acquisition Term Loan Facilities to pay a portion of the consideration for the Capri Acquisition and to pay related fees and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Capri Acquisition Term Loan Facilities bear interest at a rate per annum equal to, at the Company’s option, either (a) an alternate base rate or (b) a rate based on the forward-looking Secured Overnight Financing Rate ("SOFR") term rate administered by CME Group Benchmark Administration Limited (or any successor administrator) plus, in each case, an applicable margin. The applicable margin will be adjusted by reference to a grid based on the ratio of (a) consolidated debt (with certain customary deductions for unrestricted cash and permitted investments) to (b) consolidated EBITDAR. The applicable margin will initially be (x) in the case of the Three-Year Term Loan Facility, 0.250% for base rate loans and 1.250% for SOFR loans and (y) in the case of the Five-Year Term Loan Facility, 0.375% for base rate loans and 1.375% for SOFR loans. Additionally, the Company will pay a ticking fee of 0.15% on the average daily amount of the unused commitments of the Capri Acquisition Term Loan Facilities. There were no outstanding borrowings on the Capri Acquisition Term Loan Facilities as of March 30, 2024.</w:t>
      </w:r>
    </w:p>
    <w:p>
      <w:pPr>
        <w:pStyle w:val="TextBody"/>
        <w:bidi w:val="0"/>
        <w:spacing w:lineRule="auto" w:line="288" w:before="6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$2.0 Billion Revolving Credit Facility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pursuant to that certain Amendment No. 1 to Credit Agreement (the "Amendment"), the Company amended its Existing Credit Agreement (as defined below), originally dated as of May 11, 2022, among the Company, as borrower, certain of our subsidiaries, as guarantors, Bank of America, N.A., as administrative agent, and the financial institutions parties thereto as lenders (the "Existing Credit Agreement", and as amended by the Amendment, the "Amended Credit Agreement"). Under the Amended Credit Agreement, a syndicate of financial institutions and other lenders provided increases to the aggregate commitments to the revolving facility under the Existing Credit Agreement from $1.25 billion to $2.0 billion (the “Revolving Facility”). The Revolving Facility will mature on May 11, 2027.</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Facility bear interest at a rate per annum equal to, at the Company’s option, (i) for borrowings in U.S. Dollars, either (a) an alternate base rate or (b) a rate based on the forward-looking SOFR term rate administered by CME Group Benchmark Administration Limited (or any successor administrator satisfactory to the administrative agent), (ii) for borrowings in Euros, the Euro Interbank Offered Rate, (iii) 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 (a) consolidated debt to (b) consolidated EBITDAR. Additionally, the Company will pay facility fees, calculated at a rate per annum determined in accordance with the Pricing Grid, on the full amount of the Revolving Facility, payable quarterly in arrears, and certain fees with respect to letters of credit that are issued. The Revolving Facility may be used to finance the working capital needs, capital expenditures, permitted investments, share purchases, dividends, and other general corporate purposes of the Company and its subsidiaries (which may include commercial paper backup). Additionally, up to $250 million of the Revolving Facility will be available on a funds certain basis to fund the purchase price of the Capri Acquisition and to pay related fees and expenses. There were no outstanding borrowings on the Revolving Facility as of March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Capri Acquisition USD Senior Notes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2023, the Company issued $4.5 billion aggregate principal amount of senior unsecured notes, consisting of $500.0 million aggregate principal amount of 7.050% senior unsecured notes due November 27, 2025 at 99.890% of par (the “7.050% Senior Notes due 2025”), $750.0 million aggregate principal amount of 7.000% senior unsecured notes due November 27, 2026 at 99.803% of par (the “7.000% Senior Notes due 2026”), $1.0 billion aggregate principal amount of 7.350% senior unsecured notes due November 27, 2028 at 99.724% (the “7.350% Senior Notes due 2028”), $1.0 billion aggregate principal amount of 7.700% Senior Notes due November 27, 2030 at 99.712% of par (the “7.700% Senior Notes due 2030”) and $1.25 billion aggregate principal amount of our 7.850% Senior Notes due November 27, 2033 at 99.475% (the “7.850% Senior Notes due 2033" and, together with the 7.050% Senior Notes due 2025, the 7.000% Senior Notes due 2026, the 7.350% Senior Notes due 2028 and the 7.700% Senior Notes due 2030, the “Capri Acquisition USD Senior Notes”). The Company will pay interest semi-annually on the Capri Acquisition USD Senior Notes on May 27 and November 27 of each year, commencing on May 27, 2024.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(i) the Capri Acquisition has not been completed by February 10, 2025 (or such later date mutually agreed between the Company and Capri) (such date, the “special mandatory redemption end date”), (ii) prior to the special mandatory redemption end date, the Merger Agreement is terminated in accordance with its terms or (iii) the Company otherwise notifies the trustee that it will not pursue the consummation of the Capri Acquisition, all of the Capri Acquisition USD Senior Notes will be redeemed at a redemption price equal to 101% of their principal amount, plus accrued and unpaid interest to, but excluding, the special mandatory redemption date.</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Capri Acquisition EUR Senior Notes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2023, the Company issued €1.5 billion aggregate principal amount of senior unsecured notes, consisting of €500.0 million aggregate principal amount of 5.350% senior unsecured notes due November 27, 2025 at 99.878% of par (the “5.350% EUR Senior Notes due 2025”), €500.0 million aggregate principal amount of 5.375% senior unsecured notes due November 27, 2027 at 99.723% of par (the 5.375% EUR Senior Notes due 2027”) and €500.0 million aggregate principal amount of our 5.875% senior unsecured notes due November 27, 2031 at 99.248% of par (the “5.875% EUR Senior Notes due 2031" and, together with the 5.350% EUR Senior Notes due 2025 and the 5.375% EUR Senior Notes due 2027, the “Capri Acquisition EUR Senior Notes” and, together with the Capri Acquisition USD Senior Notes, the "Capri Acquisition Senior Notes"). The Company will pay interest annually on the Capri Acquisition EUR Senior Notes on November 27 of each year, commencing on November 27, 2024. As of March 30, 2024, the carrying amount for each of the Capri Acquisition EUR Senior Notes was $539.5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(i) the Capri Acquisition has not been completed by the special mandatory redemption end date, (ii) prior to the special mandatory redemption end date, the Merger Agreement is terminated in accordance with its terms or (iii) the Company otherwise notifies the trustee that it will not pursue the consummation of the Capri Acquisition, all of the Capri Acquisition EUR Senior Notes will be redeemed at a redemption price equal to 101% of their principal amount, plus accrued and unpaid interest to, but excluding, the special mandatory redemption date.</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2027 Term Loan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11, 2022, pursuant to the Existing Credit Agreement, the Company entered into an unsecured $500.0 million Term Loan (the “Term Loan due 2027”) which matures on May 11, 2027. The Term Loan due 2027 amortizes in an amount equal to 5.000% per annum, with payments made quarterly. As of March 30, 2024, $25.0 million of the Term Loan due 2027 is included in Current debt on the Consolidated Balance Sheets. Borrowings under the Term Loan due 2027 bear interest at a rate per annum equal to, at the Company’s option, either (i) an alternate base rate or (ii) a term secured overnight financing rate plus, in each case, an applicable margin. The applicable margin will be adjusted by reference to a pricing grid based on the ratio (a) consolidated debt to (b) consolidated EBITDAR.</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2025, 2027, 2032 Senior Notes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Debt Covenants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Amended Credit Agreement, we are required to comply on a quarterly basis with a maximum net leverage ratio of 4.00:1.00. After giving effect to the Capri Acquisition, the Company will be required under the Amended Credit Agreement and the Capri Acquisition Term Loan Agreement to comply on a quarterly basis with a maximum net leverage ratio of (i) from and including the closing date of the Capri Acquisition to but excluding June 28, 2025, 4.75 to 1.00, (ii) from and including June 28, 2025 to but excluding June 27, 2026, 4.50 to 1.00, and (iii) from and including June 27, 2026 and thereafter, 4.00 to 1.00. As of March 30, 2024, we were in compliance with these restrictions and covenants, have met such financial ratios and have met all debt payment obligations.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Fair Value Considerations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estimated fair values of the senior unsecured notes at March 30, 2024 and July 1, 2023 based on external pricing data, including available quoted market prices of the instruments, and consideration of comparable debt instruments with similar interest rates and trading frequency, among other factors, and is classified as Level 2 measurements within the fair value hierarchy:</w:t>
      </w:r>
    </w:p>
    <w:tbl>
      <w:tblPr>
        <w:tblW w:w="5575" w:type="dxa"/>
        <w:jc w:val="left"/>
        <w:tblInd w:w="0" w:type="dxa"/>
        <w:tblLayout w:type="fixed"/>
        <w:tblCellMar>
          <w:top w:w="28" w:type="dxa"/>
          <w:left w:w="28" w:type="dxa"/>
          <w:bottom w:w="28" w:type="dxa"/>
          <w:right w:w="28" w:type="dxa"/>
        </w:tblCellMar>
      </w:tblPr>
      <w:tblGrid>
        <w:gridCol w:w="1173"/>
        <w:gridCol w:w="1028"/>
        <w:gridCol w:w="1038"/>
        <w:gridCol w:w="401"/>
        <w:gridCol w:w="380"/>
        <w:gridCol w:w="326"/>
        <w:gridCol w:w="109"/>
        <w:gridCol w:w="109"/>
        <w:gridCol w:w="109"/>
        <w:gridCol w:w="308"/>
        <w:gridCol w:w="308"/>
        <w:gridCol w:w="286"/>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w:t>
              <w:br/>
              <w:t>2023</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USD Senior Notes: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2025</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299.0</w:t>
            </w: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7.050% Senior Notes due 2025</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510.9</w:t>
            </w: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7.000% Senior Notes due 2026</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774.3</w:t>
            </w: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Senior Notes due 2027</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378.0</w:t>
            </w: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7.350% Senior Notes due 2028</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1,054.4</w:t>
            </w: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7.700% Senior Notes due 2030</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1,069.0</w:t>
            </w: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3.050% Senior Notes due 2032</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410.0</w:t>
            </w: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7.850% Senior Notes due 2033</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1,358.6</w:t>
            </w: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EUR Senior Notes: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5.350% EUR Senior Notes due 2025</w:t>
            </w:r>
            <w:r>
              <w:rPr>
                <w:rFonts w:ascii="Times New Roman;sans-serif" w:hAnsi="Times New Roman;sans-serif"/>
                <w:b w:val="false"/>
                <w:color w:val="000000"/>
                <w:sz w:val="13"/>
              </w:rPr>
              <w:t>(1)</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549.0</w:t>
            </w: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5.375% EUR Senior Notes due 2027</w:t>
            </w:r>
            <w:r>
              <w:rPr>
                <w:rFonts w:ascii="Times New Roman;sans-serif" w:hAnsi="Times New Roman;sans-serif"/>
                <w:b w:val="false"/>
                <w:color w:val="000000"/>
                <w:sz w:val="13"/>
              </w:rPr>
              <w:t>(1)</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561.1</w:t>
            </w: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5.875% EUR Senior Notes due 2031</w:t>
            </w:r>
            <w:r>
              <w:rPr>
                <w:rFonts w:ascii="Times New Roman;sans-serif" w:hAnsi="Times New Roman;sans-serif"/>
                <w:b w:val="false"/>
                <w:color w:val="000000"/>
                <w:sz w:val="13"/>
              </w:rPr>
              <w:t>(1)</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575.8</w:t>
            </w: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 fair values of the Capri Acquisition EUR Senior</w:t>
      </w:r>
      <w:r>
        <w:rPr>
          <w:color w:val="000000"/>
        </w:rPr>
        <w:t xml:space="preserve"> </w:t>
      </w:r>
      <w:r>
        <w:rPr>
          <w:rFonts w:ascii="Times New Roman;sans-serif" w:hAnsi="Times New Roman;sans-serif"/>
          <w:b w:val="false"/>
          <w:color w:val="000000"/>
          <w:sz w:val="20"/>
        </w:rPr>
        <w:t>Notes include the impact of changes in the exchange rate of the United States Dollar against the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categorizes its assets and liabilities, based on the priority of the inputs to the valuation technique, into a three-level fair value hierarchy as set forth below. The three levels of the hierarchy are defined as follows: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prices in active markets for identical assets or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reflecting management’s own assumptions about the input used in pricing the asset or liability. The Company does not have any Level 3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fair value measurements of the Company’s financial assets and liabilities at March 30, 2024 and July 1, 2023:</w:t>
      </w:r>
    </w:p>
    <w:tbl>
      <w:tblPr>
        <w:tblW w:w="8468" w:type="dxa"/>
        <w:jc w:val="left"/>
        <w:tblInd w:w="0" w:type="dxa"/>
        <w:tblLayout w:type="fixed"/>
        <w:tblCellMar>
          <w:top w:w="28" w:type="dxa"/>
          <w:left w:w="28" w:type="dxa"/>
          <w:bottom w:w="28" w:type="dxa"/>
          <w:right w:w="28" w:type="dxa"/>
        </w:tblCellMar>
      </w:tblPr>
      <w:tblGrid>
        <w:gridCol w:w="1142"/>
        <w:gridCol w:w="1006"/>
        <w:gridCol w:w="1016"/>
        <w:gridCol w:w="211"/>
        <w:gridCol w:w="781"/>
        <w:gridCol w:w="109"/>
        <w:gridCol w:w="109"/>
        <w:gridCol w:w="109"/>
        <w:gridCol w:w="109"/>
        <w:gridCol w:w="211"/>
        <w:gridCol w:w="616"/>
        <w:gridCol w:w="109"/>
        <w:gridCol w:w="109"/>
        <w:gridCol w:w="109"/>
        <w:gridCol w:w="109"/>
        <w:gridCol w:w="243"/>
        <w:gridCol w:w="606"/>
        <w:gridCol w:w="125"/>
        <w:gridCol w:w="109"/>
        <w:gridCol w:w="109"/>
        <w:gridCol w:w="109"/>
        <w:gridCol w:w="211"/>
        <w:gridCol w:w="511"/>
        <w:gridCol w:w="109"/>
        <w:gridCol w:w="109"/>
        <w:gridCol w:w="109"/>
        <w:gridCol w:w="109"/>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Short-term investments</w:t>
            </w:r>
            <w:r>
              <w:rPr>
                <w:rFonts w:ascii="Times New Roman;sans-serif" w:hAnsi="Times New Roman;sans-serif"/>
                <w:b w:val="false"/>
                <w:color w:val="000000"/>
                <w:sz w:val="20"/>
              </w:rPr>
              <w:t>:</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Time deposits</w:t>
            </w:r>
            <w:r>
              <w:rPr>
                <w:rFonts w:ascii="Times New Roman;sans-serif" w:hAnsi="Times New Roman;sans-serif"/>
                <w:b w:val="false"/>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paper</w:t>
            </w:r>
            <w:r>
              <w:rPr>
                <w:rFonts w:ascii="Times New Roman;sans-serif" w:hAnsi="Times New Roman;sans-serif"/>
                <w:b w:val="false"/>
                <w:color w:val="000000"/>
                <w:sz w:val="13"/>
              </w:rPr>
              <w:t>(2)</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315.8</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Government securities - U.S.</w:t>
            </w:r>
            <w:r>
              <w:rPr>
                <w:rFonts w:ascii="Times New Roman;sans-serif" w:hAnsi="Times New Roman;sans-serif"/>
                <w:b w:val="false"/>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debt securities - U.S.</w:t>
            </w:r>
            <w:r>
              <w:rPr>
                <w:rFonts w:ascii="Times New Roman;sans-serif" w:hAnsi="Times New Roman;sans-serif"/>
                <w:b w:val="false"/>
                <w:color w:val="000000"/>
                <w:sz w:val="13"/>
              </w:rPr>
              <w:t>(2)</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debt securities - non-U.S.</w:t>
            </w:r>
            <w:r>
              <w:rPr>
                <w:rFonts w:ascii="Times New Roman;sans-serif" w:hAnsi="Times New Roman;sans-serif"/>
                <w:b w:val="false"/>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Long-term investments</w:t>
            </w:r>
            <w:r>
              <w:rPr>
                <w:rFonts w:ascii="Times New Roman;sans-serif" w:hAnsi="Times New Roman;sans-serif"/>
                <w:b w:val="false"/>
                <w:color w:val="000000"/>
                <w:sz w:val="20"/>
              </w:rPr>
              <w:t>:</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Derivative assets</w:t>
            </w:r>
            <w:r>
              <w:rPr>
                <w:rFonts w:ascii="Times New Roman;sans-serif" w:hAnsi="Times New Roman;sans-serif"/>
                <w:b w:val="false"/>
                <w:color w:val="000000"/>
                <w:sz w:val="20"/>
              </w:rPr>
              <w:t>:</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Inventory-related instruments</w:t>
            </w:r>
            <w:r>
              <w:rPr>
                <w:rFonts w:ascii="Times New Roman;sans-serif" w:hAnsi="Times New Roman;sans-serif"/>
                <w:b w:val="false"/>
                <w:color w:val="000000"/>
                <w:sz w:val="13"/>
              </w:rPr>
              <w:t>(3)</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Net investment hedges</w:t>
            </w:r>
            <w:r>
              <w:rPr>
                <w:rFonts w:ascii="Times New Roman;sans-serif" w:hAnsi="Times New Roman;sans-serif"/>
                <w:b w:val="false"/>
                <w:color w:val="000000"/>
                <w:sz w:val="13"/>
              </w:rPr>
              <w:t>(3)</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Intercompany loans and payables</w:t>
            </w:r>
            <w:r>
              <w:rPr>
                <w:rFonts w:ascii="Times New Roman;sans-serif" w:hAnsi="Times New Roman;sans-serif"/>
                <w:b w:val="false"/>
                <w:color w:val="000000"/>
                <w:sz w:val="13"/>
              </w:rPr>
              <w:t>(3)</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Derivative liabilities</w:t>
            </w:r>
            <w:r>
              <w:rPr>
                <w:rFonts w:ascii="Times New Roman;sans-serif" w:hAnsi="Times New Roman;sans-serif"/>
                <w:b w:val="false"/>
                <w:color w:val="000000"/>
                <w:sz w:val="20"/>
              </w:rPr>
              <w:t>:</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Inventory-related instruments</w:t>
            </w:r>
            <w:r>
              <w:rPr>
                <w:rFonts w:ascii="Times New Roman;sans-serif" w:hAnsi="Times New Roman;sans-serif"/>
                <w:b w:val="false"/>
                <w:color w:val="000000"/>
                <w:sz w:val="13"/>
              </w:rPr>
              <w:t>(3)</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Net investment hedges</w:t>
            </w:r>
            <w:r>
              <w:rPr>
                <w:rFonts w:ascii="Times New Roman;sans-serif" w:hAnsi="Times New Roman;sans-serif"/>
                <w:b w:val="false"/>
                <w:color w:val="000000"/>
                <w:sz w:val="13"/>
              </w:rPr>
              <w:t>(3)</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Intercompany loans and payables</w:t>
            </w:r>
            <w:r>
              <w:rPr>
                <w:rFonts w:ascii="Times New Roman;sans-serif" w:hAnsi="Times New Roman;sans-serif"/>
                <w:b w:val="false"/>
                <w:color w:val="000000"/>
                <w:sz w:val="13"/>
              </w:rPr>
              <w:t>(3)</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Cash equivalents generally consists of money market funds and time deposits with maturities of three months or less at the date of purchase. Due to their short-term maturity, management believes that their carrying value approximates fair value.</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Short-term investments are recorded at fair value, which approximates their carrying value, and are primarily based upon quoted vendor or broker priced securities in active markets.</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The fair value of these hedges is primarily based on the forward curves of the specific indices upon which settlement is based and includes an adjustment for the counterparty’s or Company’s credit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11, "Debt," for the fair value of the Company's outstanding debt instruments.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Non-Financial Assets and Liabilities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 There were no impairment charges recorded during the three and nine months ended March 30, 2024 and April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13. INVESTMENTS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U.S. dollar-denominated investments, recorded within the Company's Condensed Consolidated Balance Sheets as of March 30, 2024 and July 1, 2023:</w:t>
      </w:r>
    </w:p>
    <w:tbl>
      <w:tblPr>
        <w:tblW w:w="10205" w:type="dxa"/>
        <w:jc w:val="left"/>
        <w:tblInd w:w="0" w:type="dxa"/>
        <w:tblLayout w:type="fixed"/>
        <w:tblCellMar>
          <w:top w:w="28" w:type="dxa"/>
          <w:left w:w="28" w:type="dxa"/>
          <w:bottom w:w="28" w:type="dxa"/>
          <w:right w:w="28" w:type="dxa"/>
        </w:tblCellMar>
      </w:tblPr>
      <w:tblGrid>
        <w:gridCol w:w="918"/>
        <w:gridCol w:w="806"/>
        <w:gridCol w:w="809"/>
        <w:gridCol w:w="229"/>
        <w:gridCol w:w="687"/>
        <w:gridCol w:w="120"/>
        <w:gridCol w:w="109"/>
        <w:gridCol w:w="109"/>
        <w:gridCol w:w="109"/>
        <w:gridCol w:w="322"/>
        <w:gridCol w:w="644"/>
        <w:gridCol w:w="167"/>
        <w:gridCol w:w="109"/>
        <w:gridCol w:w="109"/>
        <w:gridCol w:w="109"/>
        <w:gridCol w:w="211"/>
        <w:gridCol w:w="631"/>
        <w:gridCol w:w="109"/>
        <w:gridCol w:w="109"/>
        <w:gridCol w:w="109"/>
        <w:gridCol w:w="109"/>
        <w:gridCol w:w="244"/>
        <w:gridCol w:w="590"/>
        <w:gridCol w:w="127"/>
        <w:gridCol w:w="109"/>
        <w:gridCol w:w="109"/>
        <w:gridCol w:w="109"/>
        <w:gridCol w:w="311"/>
        <w:gridCol w:w="601"/>
        <w:gridCol w:w="162"/>
        <w:gridCol w:w="109"/>
        <w:gridCol w:w="109"/>
        <w:gridCol w:w="109"/>
        <w:gridCol w:w="211"/>
        <w:gridCol w:w="511"/>
        <w:gridCol w:w="160"/>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Short-term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Long-term</w:t>
            </w:r>
            <w:r>
              <w:rPr>
                <w:rFonts w:ascii="Times New Roman;sans-serif" w:hAnsi="Times New Roman;sans-serif"/>
                <w:b/>
                <w:color w:val="000000"/>
                <w:sz w:val="13"/>
              </w:rPr>
              <w:t>(2)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Long-term</w:t>
            </w:r>
            <w:r>
              <w:rPr>
                <w:rFonts w:ascii="Times New Roman;sans-serif" w:hAnsi="Times New Roman;sans-serif"/>
                <w:b w:val="false"/>
                <w:color w:val="000000"/>
                <w:sz w:val="13"/>
              </w:rPr>
              <w:t>(2)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investments: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paper</w:t>
            </w:r>
            <w:r>
              <w:rPr>
                <w:rFonts w:ascii="Times New Roman;sans-serif" w:hAnsi="Times New Roman;sans-serif"/>
                <w:b w:val="false"/>
                <w:color w:val="000000"/>
                <w:sz w:val="13"/>
              </w:rPr>
              <w:t>(1)</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Government securities - U.S.</w:t>
            </w:r>
            <w:r>
              <w:rPr>
                <w:rFonts w:ascii="Times New Roman;sans-serif" w:hAnsi="Times New Roman;sans-serif"/>
                <w:b w:val="false"/>
                <w:color w:val="000000"/>
                <w:sz w:val="13"/>
              </w:rPr>
              <w:t>(1)</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debt securities - U.S.</w:t>
            </w:r>
            <w:r>
              <w:rPr>
                <w:rFonts w:ascii="Times New Roman;sans-serif" w:hAnsi="Times New Roman;sans-serif"/>
                <w:b w:val="false"/>
                <w:color w:val="000000"/>
                <w:sz w:val="13"/>
              </w:rPr>
              <w:t>(1)</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investments, total</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423.6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Time deposits</w:t>
            </w:r>
            <w:r>
              <w:rPr>
                <w:rFonts w:ascii="Times New Roman;sans-serif" w:hAnsi="Times New Roman;sans-serif"/>
                <w:b w:val="false"/>
                <w:color w:val="000000"/>
                <w:sz w:val="13"/>
              </w:rPr>
              <w:t>(1)</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442.9</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These securities, as of period end, have maturity dates during their respective fiscal years and are recorded at fair value.</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Long-term investments are presented within Other assets on the Condensed Consolidated Balance Sheets.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gross realized and unrealized gains or losses on available-for-sale investments as of the periods ended March 30, 2024 and July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2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Capri Holdings Limited Acquisition</w:t>
      </w:r>
    </w:p>
    <w:p>
      <w:pPr>
        <w:pStyle w:val="TextBody"/>
        <w:bidi w:val="0"/>
        <w:spacing w:lineRule="auto" w:line="288" w:before="120" w:after="120"/>
        <w:ind w:left="0" w:right="0" w:firstLine="270"/>
        <w:jc w:val="both"/>
        <w:rPr/>
      </w:pPr>
      <w:r>
        <w:rPr>
          <w:rFonts w:ascii="Times New Roman;sans-serif" w:hAnsi="Times New Roman;sans-serif"/>
          <w:b w:val="false"/>
          <w:color w:val="000000"/>
          <w:sz w:val="20"/>
        </w:rPr>
        <w:t>On August 10, 2023, the Company entered into a Merger Agreement. The Company intends to finance the Capri Acquisition, inclusive of related fees and expenses, with the net proceeds of new senior unsecured notes, new term loans, cash on hand, cash on hand at Capri and anticipated future cash flow. Refer to Note 5, "Acquisitions,"</w:t>
      </w:r>
      <w:r>
        <w:rPr>
          <w:color w:val="EE2724"/>
        </w:rPr>
        <w:t xml:space="preserve"> </w:t>
      </w:r>
      <w:r>
        <w:rPr>
          <w:rFonts w:ascii="Times New Roman;sans-serif" w:hAnsi="Times New Roman;sans-serif"/>
          <w:b w:val="false"/>
          <w:color w:val="000000"/>
          <w:sz w:val="20"/>
        </w:rPr>
        <w:t>and Note 16, "Subsequent Events" for further information.</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standby letters of credit, surety bonds and bank guarantees totaling $28.6 million and $37.1 million outstanding at March 30, 2024 and July 1, 2023, respectively. The agreements, which expire at various dates through fiscal year 2040, primarily collateralize the Company's obligation to third parties for duty, leases, insurance claims and materials used in product manufacturing. The Company pays certain fees with respect to these instruments that are issued.</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other contractual cash obligations as of March 30, 2024 related to debt repayments. Refer to Note 11, "Debt," for further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contractual disputes, insurance claims and litigation with present or former employees.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Coach</w:t>
      </w:r>
      <w:r>
        <w:rPr>
          <w:color w:val="000000"/>
        </w:rPr>
        <w:t xml:space="preserve"> </w:t>
      </w:r>
      <w:r>
        <w:rPr>
          <w:rFonts w:ascii="Times New Roman;sans-serif" w:hAnsi="Times New Roman;sans-serif"/>
          <w:b w:val="false"/>
          <w:color w:val="000000"/>
          <w:sz w:val="20"/>
        </w:rPr>
        <w:t>- Includes global sales primarily of Coach products to customers through Coach operated stores, including e-commerce sites and concession shop-in-shops, sales to wholesale customers and through independent third-party distributors.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Kate Spade</w:t>
      </w:r>
      <w:r>
        <w:rPr>
          <w:color w:val="000000"/>
        </w:rPr>
        <w:t xml:space="preserve"> </w:t>
      </w:r>
      <w:r>
        <w:rPr>
          <w:rFonts w:ascii="Times New Roman;sans-serif" w:hAnsi="Times New Roman;sans-serif"/>
          <w:b w:val="false"/>
          <w:color w:val="000000"/>
          <w:sz w:val="20"/>
        </w:rPr>
        <w:t>- Includes global sales primarily of kate spade new york brand products to customers through Kate Spade operated stores, including e-commerce sites and concession shop-in-shops, sales to wholesale customers, and through independent third-party distributors.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Stuart Weitzman - </w:t>
      </w:r>
      <w:r>
        <w:rPr>
          <w:rFonts w:ascii="Times New Roman;sans-serif" w:hAnsi="Times New Roman;sans-serif"/>
          <w:b w:val="false"/>
          <w:color w:val="000000"/>
          <w:sz w:val="20"/>
        </w:rPr>
        <w:t>Includes global sales of Stuart Weitzman brand products primarily through Stuart Weitzman operated stores, sales to wholesale customers, through e-commerce sites and through independent third-party distributors.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deciding how to allocate resources and assess performance, the Company's chief operating decision maker regularly evaluates operating profit of these segments. Segment operating profit is the gross profit of the segment less direct expenses of the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sales of each of the company's segments for the three and nine months ended March 30, 2024 and April 1, 2023:</w:t>
      </w:r>
    </w:p>
    <w:tbl>
      <w:tblPr>
        <w:tblW w:w="8144" w:type="dxa"/>
        <w:jc w:val="left"/>
        <w:tblInd w:w="0" w:type="dxa"/>
        <w:tblLayout w:type="fixed"/>
        <w:tblCellMar>
          <w:top w:w="28" w:type="dxa"/>
          <w:left w:w="28" w:type="dxa"/>
          <w:bottom w:w="28" w:type="dxa"/>
          <w:right w:w="28" w:type="dxa"/>
        </w:tblCellMar>
      </w:tblPr>
      <w:tblGrid>
        <w:gridCol w:w="596"/>
        <w:gridCol w:w="526"/>
        <w:gridCol w:w="528"/>
        <w:gridCol w:w="276"/>
        <w:gridCol w:w="1022"/>
        <w:gridCol w:w="142"/>
        <w:gridCol w:w="109"/>
        <w:gridCol w:w="109"/>
        <w:gridCol w:w="109"/>
        <w:gridCol w:w="230"/>
        <w:gridCol w:w="836"/>
        <w:gridCol w:w="119"/>
        <w:gridCol w:w="109"/>
        <w:gridCol w:w="109"/>
        <w:gridCol w:w="109"/>
        <w:gridCol w:w="276"/>
        <w:gridCol w:w="1022"/>
        <w:gridCol w:w="142"/>
        <w:gridCol w:w="109"/>
        <w:gridCol w:w="109"/>
        <w:gridCol w:w="109"/>
        <w:gridCol w:w="230"/>
        <w:gridCol w:w="836"/>
        <w:gridCol w:w="119"/>
        <w:gridCol w:w="109"/>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net sales: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1,145.6</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3,844.9</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1,044.3</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56.1</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190.9</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1,482.4</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5,080.1</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20" w:after="283"/>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segment operating profit of each of the company's segments and reconciliation to Income (loss) before provision for income taxes for the three and nine months ended March 30, 2024 and April 1, 2023:</w:t>
      </w:r>
    </w:p>
    <w:tbl>
      <w:tblPr>
        <w:tblW w:w="10205" w:type="dxa"/>
        <w:jc w:val="left"/>
        <w:tblInd w:w="0" w:type="dxa"/>
        <w:tblLayout w:type="fixed"/>
        <w:tblCellMar>
          <w:top w:w="28" w:type="dxa"/>
          <w:left w:w="28" w:type="dxa"/>
          <w:bottom w:w="28" w:type="dxa"/>
          <w:right w:w="28" w:type="dxa"/>
        </w:tblCellMar>
      </w:tblPr>
      <w:tblGrid>
        <w:gridCol w:w="1374"/>
        <w:gridCol w:w="1199"/>
        <w:gridCol w:w="1208"/>
        <w:gridCol w:w="312"/>
        <w:gridCol w:w="935"/>
        <w:gridCol w:w="161"/>
        <w:gridCol w:w="109"/>
        <w:gridCol w:w="109"/>
        <w:gridCol w:w="109"/>
        <w:gridCol w:w="263"/>
        <w:gridCol w:w="769"/>
        <w:gridCol w:w="136"/>
        <w:gridCol w:w="109"/>
        <w:gridCol w:w="109"/>
        <w:gridCol w:w="109"/>
        <w:gridCol w:w="271"/>
        <w:gridCol w:w="1007"/>
        <w:gridCol w:w="139"/>
        <w:gridCol w:w="109"/>
        <w:gridCol w:w="109"/>
        <w:gridCol w:w="109"/>
        <w:gridCol w:w="228"/>
        <w:gridCol w:w="831"/>
        <w:gridCol w:w="118"/>
        <w:gridCol w:w="109"/>
        <w:gridCol w:w="164"/>
      </w:tblGrid>
      <w:tr>
        <w:trPr/>
        <w:tc>
          <w:tcPr>
            <w:tcW w:w="137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profit:</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362.7</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1,262.3</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108.7</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profit:</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368.0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1,359.1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Unallocated corporate expenses</w:t>
            </w:r>
            <w:r>
              <w:rPr>
                <w:rFonts w:ascii="Times New Roman;sans-serif" w:hAnsi="Times New Roman;sans-serif"/>
                <w:b w:val="false"/>
                <w:color w:val="000000"/>
                <w:sz w:val="13"/>
              </w:rPr>
              <w:t>(1)</w:t>
            </w:r>
          </w:p>
        </w:tc>
        <w:tc>
          <w:tcPr>
            <w:tcW w:w="12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163.7</w:t>
            </w: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454.0</w:t>
            </w: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Unallocated other charges, net</w:t>
            </w:r>
            <w:r>
              <w:rPr>
                <w:rFonts w:ascii="Times New Roman;sans-serif" w:hAnsi="Times New Roman;sans-serif"/>
                <w:b w:val="false"/>
                <w:color w:val="000000"/>
                <w:sz w:val="13"/>
              </w:rPr>
              <w:t>(2)</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94.0</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169.5</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811.1</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depreciation and amortization expense of each of the company's segments for the three and nine months ended March 30, 2024 and April 1, 2023:</w:t>
      </w:r>
    </w:p>
    <w:tbl>
      <w:tblPr>
        <w:tblW w:w="10205" w:type="dxa"/>
        <w:jc w:val="left"/>
        <w:tblInd w:w="0" w:type="dxa"/>
        <w:tblLayout w:type="fixed"/>
        <w:tblCellMar>
          <w:top w:w="28" w:type="dxa"/>
          <w:left w:w="28" w:type="dxa"/>
          <w:bottom w:w="28" w:type="dxa"/>
          <w:right w:w="28" w:type="dxa"/>
        </w:tblCellMar>
      </w:tblPr>
      <w:tblGrid>
        <w:gridCol w:w="1363"/>
        <w:gridCol w:w="1197"/>
        <w:gridCol w:w="1201"/>
        <w:gridCol w:w="354"/>
        <w:gridCol w:w="884"/>
        <w:gridCol w:w="182"/>
        <w:gridCol w:w="109"/>
        <w:gridCol w:w="109"/>
        <w:gridCol w:w="109"/>
        <w:gridCol w:w="298"/>
        <w:gridCol w:w="722"/>
        <w:gridCol w:w="153"/>
        <w:gridCol w:w="109"/>
        <w:gridCol w:w="109"/>
        <w:gridCol w:w="109"/>
        <w:gridCol w:w="315"/>
        <w:gridCol w:w="946"/>
        <w:gridCol w:w="163"/>
        <w:gridCol w:w="109"/>
        <w:gridCol w:w="109"/>
        <w:gridCol w:w="109"/>
        <w:gridCol w:w="265"/>
        <w:gridCol w:w="775"/>
        <w:gridCol w:w="137"/>
        <w:gridCol w:w="109"/>
        <w:gridCol w:w="160"/>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Depreciation and amortization expense</w:t>
            </w:r>
            <w:r>
              <w:rPr>
                <w:rFonts w:ascii="Times New Roman;sans-serif" w:hAnsi="Times New Roman;sans-serif"/>
                <w:b/>
                <w:color w:val="000000"/>
                <w:sz w:val="13"/>
              </w:rPr>
              <w:t>(3)</w:t>
            </w:r>
            <w:r>
              <w:rPr>
                <w:rFonts w:ascii="Times New Roman;sans-serif" w:hAnsi="Times New Roman;sans-serif"/>
                <w:b/>
                <w:color w:val="000000"/>
                <w:sz w:val="20"/>
              </w:rPr>
              <w:t>:</w:t>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Unallocated corporate</w:t>
            </w:r>
            <w:r>
              <w:rPr>
                <w:rFonts w:ascii="Times New Roman;sans-serif" w:hAnsi="Times New Roman;sans-serif"/>
                <w:b w:val="false"/>
                <w:color w:val="000000"/>
                <w:sz w:val="13"/>
              </w:rPr>
              <w:t>(1)</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125.8</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Corporate, which is not a reportable segment, represents certain costs that are not directly attributable to a segment. These costs primarily include administration and certain costs for information systems.</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    </w:t>
      </w:r>
      <w:r>
        <w:rPr>
          <w:rFonts w:ascii="Times New Roman;sans-serif" w:hAnsi="Times New Roman;sans-serif"/>
          <w:b w:val="false"/>
          <w:color w:val="000000"/>
          <w:sz w:val="20"/>
        </w:rPr>
        <w:t>Includes Interest expense, net and Other expense (income).</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(3)    </w:t>
      </w:r>
      <w:r>
        <w:rPr>
          <w:rFonts w:ascii="Times New Roman;sans-serif" w:hAnsi="Times New Roman;sans-serif"/>
          <w:b w:val="false"/>
          <w:color w:val="000000"/>
          <w:sz w:val="20"/>
        </w:rPr>
        <w:t>Depreciation and amortization expense for the segments includes an allocation of expense related to assets which support multiple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TAPESTRY,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August 10, 2023, Tapestry, Capri and Merger Sub, entered into the Merger Agreement, dated August 10, 2023, pursuant to which, among other things, Merger Sub will merge with and into Capri (the “Merger”), with Capri surviving the Merger and continuing as a wholly owned subsidiary of Tapestry.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2024, the FTC filed a complaint against the Company and Capri in the United States District Court for the Southern District of New York seeking to enjoin the consummation of the Merger. The FTC’s complaint alleges that the Merger would violate Section 7 of the Clayton Act and that the Merger Agreement and the Capri Acquisition constitute unfair methods of competition in violation of Section 5 of the Federal Trade Commission Act and should be enjoined. The Company believes the FTC’s claims are without merit, and intends to defend the lawsuit vigorously.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the Company's financial condition and results of operations should be read together with the Company's condensed consolidated financial statements and notes to those financial statements included elsewhere in this document. When used herein, the terms "the Company," "Tapestry," "we," "us" and "our" refer to Tapestry, Inc., including consolidated subsidiaries. References to "Coach," "Stuart Weitzman," "Kate Spade" or "kate spade new york" refer only to the referenced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This section provides a general description of the business and brands as well as the Company’s growth strategy.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Global Economic Conditions and Industry Trends.</w:t>
      </w:r>
      <w:r>
        <w:rPr>
          <w:color w:val="000000"/>
        </w:rPr>
        <w:t xml:space="preserve"> </w:t>
      </w:r>
      <w:r>
        <w:rPr>
          <w:rFonts w:ascii="Times New Roman;sans-serif" w:hAnsi="Times New Roman;sans-serif"/>
          <w:b w:val="false"/>
          <w:color w:val="000000"/>
          <w:sz w:val="20"/>
        </w:rPr>
        <w:t>This section includes a discussion on global economic conditions and industry trends that affect comparability that are important in understanding results of operations and financial conditions, and in anticipating future trends.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Results of operations</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An analysis of our results of operations in the </w:t>
      </w:r>
      <w:r>
        <w:rPr>
          <w:rFonts w:ascii="Times New Roman;sans-serif" w:hAnsi="Times New Roman;sans-serif"/>
          <w:b w:val="false"/>
          <w:color w:val="000000"/>
          <w:sz w:val="20"/>
        </w:rPr>
        <w:t>third quarter</w:t>
      </w:r>
      <w:r>
        <w:rPr>
          <w:color w:val="000000"/>
          <w:shd w:fill="FFFFFF" w:val="clear"/>
        </w:rPr>
        <w:t xml:space="preserve"> </w:t>
      </w:r>
      <w:r>
        <w:rPr>
          <w:rFonts w:ascii="Times New Roman;sans-serif" w:hAnsi="Times New Roman;sans-serif"/>
          <w:b w:val="false"/>
          <w:color w:val="000000"/>
          <w:sz w:val="20"/>
          <w:shd w:fill="FFFFFF" w:val="clear"/>
        </w:rPr>
        <w:t xml:space="preserve">of fiscal 2024 compared to the </w:t>
      </w:r>
      <w:r>
        <w:rPr>
          <w:rFonts w:ascii="Times New Roman;sans-serif" w:hAnsi="Times New Roman;sans-serif"/>
          <w:b w:val="false"/>
          <w:color w:val="000000"/>
          <w:sz w:val="20"/>
        </w:rPr>
        <w:t>third quarter</w:t>
      </w:r>
      <w:r>
        <w:rPr>
          <w:color w:val="000000"/>
          <w:shd w:fill="FFFFFF" w:val="clear"/>
        </w:rPr>
        <w:t xml:space="preserve"> </w:t>
      </w:r>
      <w:r>
        <w:rPr>
          <w:rFonts w:ascii="Times New Roman;sans-serif" w:hAnsi="Times New Roman;sans-serif"/>
          <w:b w:val="false"/>
          <w:color w:val="000000"/>
          <w:sz w:val="20"/>
          <w:shd w:fill="FFFFFF" w:val="clear"/>
        </w:rPr>
        <w:t xml:space="preserve">of fiscal 2023 and first </w:t>
      </w:r>
      <w:r>
        <w:rPr>
          <w:rFonts w:ascii="Times New Roman;sans-serif" w:hAnsi="Times New Roman;sans-serif"/>
          <w:b w:val="false"/>
          <w:color w:val="000000"/>
          <w:sz w:val="20"/>
        </w:rPr>
        <w:t>nine months</w:t>
      </w:r>
      <w:r>
        <w:rPr>
          <w:color w:val="000000"/>
          <w:shd w:fill="FFFFFF" w:val="clear"/>
        </w:rPr>
        <w:t xml:space="preserve"> </w:t>
      </w:r>
      <w:r>
        <w:rPr>
          <w:rFonts w:ascii="Times New Roman;sans-serif" w:hAnsi="Times New Roman;sans-serif"/>
          <w:b w:val="false"/>
          <w:color w:val="000000"/>
          <w:sz w:val="20"/>
          <w:shd w:fill="FFFFFF" w:val="clear"/>
        </w:rPr>
        <w:t xml:space="preserve">of fiscal 2024 compared to the first </w:t>
      </w:r>
      <w:r>
        <w:rPr>
          <w:rFonts w:ascii="Times New Roman;sans-serif" w:hAnsi="Times New Roman;sans-serif"/>
          <w:b w:val="false"/>
          <w:color w:val="000000"/>
          <w:sz w:val="20"/>
        </w:rPr>
        <w:t>nine months</w:t>
      </w:r>
      <w:r>
        <w:rPr>
          <w:color w:val="000000"/>
          <w:shd w:fill="FFFFFF" w:val="clear"/>
        </w:rPr>
        <w:t xml:space="preserve"> </w:t>
      </w:r>
      <w:r>
        <w:rPr>
          <w:rFonts w:ascii="Times New Roman;sans-serif" w:hAnsi="Times New Roman;sans-serif"/>
          <w:b w:val="false"/>
          <w:color w:val="000000"/>
          <w:sz w:val="20"/>
          <w:shd w:fill="FFFFFF" w:val="clear"/>
        </w:rPr>
        <w:t>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Non-GAAP measures.</w:t>
      </w:r>
      <w:r>
        <w:rPr>
          <w:color w:val="000000"/>
        </w:rPr>
        <w:t xml:space="preserve"> </w:t>
      </w:r>
      <w:r>
        <w:rPr>
          <w:rFonts w:ascii="Times New Roman;sans-serif" w:hAnsi="Times New Roman;sans-serif"/>
          <w:b w:val="false"/>
          <w:color w:val="000000"/>
          <w:sz w:val="20"/>
        </w:rPr>
        <w:t>This section includes non-GAAP measures that are useful to investors and others in evaluating the Company’s ongoing operating and financial results in a manner that is consistent with management's evaluation of business performance and understanding how such results compare with the Company’s historical performance.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includes a discussion on liquidity and capital resources including an analysis of changes in cash flow as well as working capital and capital expenditures.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 xml:space="preserve">Critical Accounting policies and estimates. </w:t>
      </w:r>
      <w:r>
        <w:rPr>
          <w:rFonts w:ascii="Times New Roman;sans-serif" w:hAnsi="Times New Roman;sans-serif"/>
          <w:b w:val="false"/>
          <w:color w:val="000000"/>
          <w:sz w:val="20"/>
        </w:rPr>
        <w:t>This section includes any material changes or updates to critical accounting policies or estimates since the Annual Report on Form 10-K for fiscal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Tapestry, Inc. (the "Company") is a house of iconic accessories and lifestyle brands consisting of Coach, Kate Spade and Stuart Weitzman.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build a company that’s equitable, inclusive, and diverse. Individually, our brands are iconic. Together, we can stretch what’s possible.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 xml:space="preserve">Coach - </w:t>
      </w:r>
      <w:r>
        <w:rPr>
          <w:rFonts w:ascii="Times New Roman;sans-serif" w:hAnsi="Times New Roman;sans-serif"/>
          <w:b w:val="false"/>
          <w:color w:val="000000"/>
          <w:sz w:val="20"/>
        </w:rPr>
        <w:t>Includes global sales of primarily Coach brand products to customers through Coach operated stores, including e-commerce sites and concession shop-in-shops, sales to wholesale customers and through independent third-party distributors.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 xml:space="preserve">Kate Spade </w:t>
      </w:r>
      <w:r>
        <w:rPr>
          <w:rFonts w:ascii="Times New Roman;sans-serif" w:hAnsi="Times New Roman;sans-serif"/>
          <w:b w:val="false"/>
          <w:color w:val="000000"/>
          <w:sz w:val="20"/>
        </w:rPr>
        <w:t>- Includes global sales primarily of kate spade new york brand products to customers through Kate Spade operated stores, including e-commerce sites and concession shop-in-shops, sales to wholesale customers and through independent third-party distributors.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i/>
          <w:color w:val="000000"/>
          <w:sz w:val="20"/>
        </w:rPr>
        <w:t>Stuart Weitzman -</w:t>
      </w:r>
      <w:r>
        <w:rPr>
          <w:color w:val="000000"/>
        </w:rPr>
        <w:t xml:space="preserve"> </w:t>
      </w:r>
      <w:r>
        <w:rPr>
          <w:rFonts w:ascii="Times New Roman;sans-serif" w:hAnsi="Times New Roman;sans-serif"/>
          <w:b w:val="false"/>
          <w:color w:val="000000"/>
          <w:sz w:val="20"/>
        </w:rPr>
        <w:t>Includes global sales of Stuart Weitzman brand products primarily through Stuart Weitzman operated stores, sales to wholesale customers, through e-commerce sites and through independent third-party distributors.</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20"/>
        </w:rPr>
        <w:t>Each of our brands is unique and independent, while sharing a commitment to innovation and authenticity defined by distinctive products and differentiated customer experiences across channels and geographies. Our success does not depend solely on the performance of a single channel, geographic area or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Capri Holdings Limited Acquisition</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On August 10, 2023, the Company entered into an Agreement and Plan of Merger (the "Merger Agreement") by and among the Company, Sunrise Merger Sub, Inc., a direct wholly owned subsidiary of Tapestry, and Capri Holdings Limited ("Capri") for $57.00 per share in cash for a total enterprise value of approximately $8.5 billion (the "Capri Acquisition"). The Capri Acquisition, once completed, will bring together six highly complementary brands with global reach, powered by the Company’s data-rich customer engagement platform and diversified, direct-to-consumer operating model.</w:t>
      </w:r>
      <w:r>
        <w:rPr>
          <w:color w:val="000000"/>
          <w:shd w:fill="FEFEFE" w:val="clear"/>
        </w:rPr>
        <w:t xml:space="preserve"> </w:t>
      </w:r>
      <w:r>
        <w:rPr>
          <w:rFonts w:ascii="Times New Roman;sans-serif" w:hAnsi="Times New Roman;sans-serif"/>
          <w:b w:val="false"/>
          <w:color w:val="000000"/>
          <w:sz w:val="20"/>
        </w:rPr>
        <w:t>The transaction is expected to close during calendar year 2024. The Company intends to finance the Capri Acquisition, inclusive of related fees and expenses, with the net proceeds of new senior unsecured notes, new term loans, cash on hand, cash on hand at Capri and anticipated future cash flow. On November 27, 2023, the Company issued $4.5 billion Capri Acquisition USD Senior Notes (the "Capri Acquisition USD Senior Notes") and €1.5 billion Capri Acquisition EUR Senior Notes (the "Capri Acquisition EUR Senior Notes" and, together with the Capri Acquisition USD Senior Notes, the "Capri Acquisition Senior Notes") which, in addition to the $1.4 billion of delayed draw Capri Acquisition Term Loan Facilities executed on August 30, 2023 (the "Capri Acquisition Term Loan Facilities"), completes the expected financing for the Capri Acquisition. The Company has received regulatory approval from all countries except for the United States. On April 22, 2024, the Federal Trade Commission ("FTC") filed a complaint against the Company and Capri in the United States District Court for the Southern District of New York seeking to enjoin the consummation of the Capri Acquisition. The FTC’s complaint alleges that the Capri Acquisition, if consummated, would violate Section 7 of the Clayton Act and that the Merger Agreement and the Capri Acquisition constitute unfair methods of competition in violation of Section 5 of the Federal Trade Commission Act and should be enjoined. The Company believes the FTC’s claims are without merit, and intends to defend the lawsuit vigorously. Refer to Note 5, "Acquisitions," and Note 16, "Subsequent Events," for further information.</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2025 Growth Strategy</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Building on the success of the strategic growth plan from fiscal 2020 through fiscal 2022 (the “Acceleration Program”), in the first quarter of fiscal 2023, the Company introduced the 2025 growth strategy (“</w:t>
      </w:r>
      <w:r>
        <w:rPr>
          <w:rFonts w:ascii="Times New Roman;sans-serif" w:hAnsi="Times New Roman;sans-serif"/>
          <w:b w:val="false"/>
          <w:i/>
          <w:color w:val="000000"/>
          <w:sz w:val="20"/>
        </w:rPr>
        <w:t>future</w:t>
      </w:r>
      <w:r>
        <w:rPr>
          <w:rFonts w:ascii="Times New Roman;sans-serif" w:hAnsi="Times New Roman;sans-serif"/>
          <w:b w:val="false"/>
          <w:color w:val="000000"/>
          <w:sz w:val="20"/>
        </w:rPr>
        <w:t>speed”), designed to amplify and extend the competitive advantages of its brands, with a focus on four strategic priorities: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Building Lasting Customer Relationships: The Company’s brands aim to leverage Tapestry’s transformed business model to drive customer lifetime value through a combination of increased customer acquisition, retention and reactivation.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Fueling Fashion Innovation &amp; Product Excellence: The Company aims to drive sustained growth in core handbags and small leathergoods, while accelerating gains in footwear and lifestyle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Delivering Compelling Omni-Channel Experiences: The Company aims to extend its omni-channel leadership to meet the customer wherever they shop, delivering growth online and in stores.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Powering Global Growth: The Company aims to support balanced growth across regions, prioritizing North America and China, its largest markets, while capitalizing on opportunities in under-penetrated geographies such as Southeast Asia and Europe.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GLOBAL ECONOMIC CONDITIONS AND INDUSTRY TRENDS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channels and geographies.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the below trends and evaluate and adjust our operating strategies and cost management opportunities to mitigate the related impact on our results of operations, while remaining focused on the long-term growth of our business and protecting the value of our brands.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significant risk factors that have the potential to cause our actual results to differ materially from our expectations, see Part I, Item 1A. "Risk Factors" herein and as disclosed in our Annual Report on Form 10-K for the year ended July 1, 2023.</w:t>
      </w:r>
    </w:p>
    <w:p>
      <w:pPr>
        <w:pStyle w:val="TextBody"/>
        <w:bidi w:val="0"/>
        <w:spacing w:lineRule="auto" w:line="288" w:before="12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Current Macroeconomic Conditions and Outlook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2024, the macroeconomic environment remained challenging and volatile. Several organizations that monitor the world’s economy, including the International Monetary Fund, continue to forecast growth in the global economy. Some of these organizations have recently revised the forecast slightly upwards since the end of the prior quarter. The updated forecast is still below the historical average, which is reflective of the current volatile environment, including tighter monetary and fiscal policies which have started to moderate inflation, financial market volatility, and the negative economic impacts of geopolitical instability in certain regions of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fiscal 2024, freight costs have continued to moderate as compared to prior year. As a result, during the three months and nine months ended March 30, 2024, the Company incurred lower freight expense of $15.9 million and $70.0 million respectively, positively impacting gross margin by approximately 100 basis points and 140 basis points when compared to the prior year.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fiscal 2024, the U.S. Dollar continued to fluctuate as compared to foreign currencies in regions where we conduct our business. This trend has resulted in impacts to our business including, but not limited to, for the three and nine months ended March 30, 2024, a decrease in Net sales of $23.5 million and $49.8 million, a positive impact to gross margin of approximately 60 basis points and 20 basis points, and approximately 30 basis point positive impact to operating margin and no impact to operating margin,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Currency volatility, political instability and potential changes to trade agreements or duty rates may also contribute to a worsening of the macroeconomic environment or adversely impact our business. Since fiscal 2019, the U.S. and China have both imposed tariffs on the importation of certain product categories into the respective country, with limited progress in negotiations to reduce or remove the tariffs.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current environment, the Company continues to take strategic actions considering near-term exigencies and remains committed to maintaining the health of the brands and business.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Geopolitical Disruptions to Supply Chain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2024, certain geopolitical events have impacted trade routes in the Red Sea which have modestly increased inventory in-transit times and costs. The Company has taken actions to minimize any potential disruptions and at this time, does not anticipate material impact to our business or operating results. We will continue to closely monitor the situation. </w:t>
      </w:r>
    </w:p>
    <w:p>
      <w:pPr>
        <w:pStyle w:val="TextBody"/>
        <w:bidi w:val="0"/>
        <w:spacing w:lineRule="auto" w:line="288" w:before="12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resulted in varying degrees of business disruption for the Company since it began in fiscal 2020 and has impacted all regions around the world, resulting in restrictions and shutdowns implemented by national, state, and local authorities. Such disruptions continued during the first half of fiscal 2023, and the Company's results in Greater China were adversely impacted as a result of the Covid-19 pandemic. Starting in December 2022, certain government restrictions were lifted in the region and business trends improved. During the nine months ended March 30, 2024, the Covid-19 pandemic did not materially impact our business or operating results. We continue to monitor the latest developments regarding the Covid-19 pandemic and potential impacts on our business, operating results and outlook.</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Tax Legislation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was signed into law by the Biden Administration, with tax provisions primarily focused on implementing a 15% corporate alternative minimum tax on global adjusted financial statement income ("CAMT") and a 1% excise tax on share repurchases. The CAMT is effective beginning fiscal 2024 and is not expected to have a material impact on the Company’s rate, however we will continue to monitor as additional guidance becomes available. With respect to the 1% excise tax on net share repurchases, this provision of the Inflation Reduction Act was effective on January 1, 2023 and did not have a material impact on our financial statements.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12, 2022, the European Union member states reached an agreement to implement the OECD’s reform of international taxation known as Pillar Two Global Anti-Base Erosion ("GloBE") Rules, which broadly mirrors the Inflation Reduction Act by imposing a 15% global minimum tax on multinational companies. GloBE is anticipated to be effective beginning fiscal 2025. The US Treasury and the OECD continue to seek input and release guidance, so it is unclear at this time what, if any, impact it will have on the Company’s tax rate and financial results. We will continue to evaluate its impact as further information becomes available. </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net sales, operating income and operating cash flows of the Company in any fiscal quarter may be affected by the timing of wholesale shipments and other events affecting retail sales, including weather and macroeconomic events, and pandemics such as Covid-19.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THIRD QUARTER FISCAL 2024 COMPARED TO THIRD QUARTER FISCAL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results of operations for the third quarter of fiscal 2024 compared to the third quarter of fiscal 2023. All percentages shown in the table below and the discussion that follows have been calculated using unrounded numbers.</w:t>
      </w:r>
    </w:p>
    <w:tbl>
      <w:tblPr>
        <w:tblW w:w="10205" w:type="dxa"/>
        <w:jc w:val="left"/>
        <w:tblInd w:w="0" w:type="dxa"/>
        <w:tblLayout w:type="fixed"/>
        <w:tblCellMar>
          <w:top w:w="28" w:type="dxa"/>
          <w:left w:w="28" w:type="dxa"/>
          <w:bottom w:w="28" w:type="dxa"/>
          <w:right w:w="28" w:type="dxa"/>
        </w:tblCellMar>
      </w:tblPr>
      <w:tblGrid>
        <w:gridCol w:w="852"/>
        <w:gridCol w:w="743"/>
        <w:gridCol w:w="752"/>
        <w:gridCol w:w="211"/>
        <w:gridCol w:w="781"/>
        <w:gridCol w:w="109"/>
        <w:gridCol w:w="109"/>
        <w:gridCol w:w="109"/>
        <w:gridCol w:w="109"/>
        <w:gridCol w:w="315"/>
        <w:gridCol w:w="316"/>
        <w:gridCol w:w="506"/>
        <w:gridCol w:w="109"/>
        <w:gridCol w:w="109"/>
        <w:gridCol w:w="109"/>
        <w:gridCol w:w="211"/>
        <w:gridCol w:w="766"/>
        <w:gridCol w:w="109"/>
        <w:gridCol w:w="109"/>
        <w:gridCol w:w="109"/>
        <w:gridCol w:w="109"/>
        <w:gridCol w:w="308"/>
        <w:gridCol w:w="308"/>
        <w:gridCol w:w="474"/>
        <w:gridCol w:w="109"/>
        <w:gridCol w:w="109"/>
        <w:gridCol w:w="109"/>
        <w:gridCol w:w="211"/>
        <w:gridCol w:w="585"/>
        <w:gridCol w:w="109"/>
        <w:gridCol w:w="109"/>
        <w:gridCol w:w="109"/>
        <w:gridCol w:w="109"/>
        <w:gridCol w:w="290"/>
        <w:gridCol w:w="293"/>
        <w:gridCol w:w="321"/>
      </w:tblGrid>
      <w:tr>
        <w:trPr/>
        <w:tc>
          <w:tcPr>
            <w:tcW w:w="85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(millions, except per share data) </w:t>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74.7</w:t>
            </w: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60.9</w:t>
            </w: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w:t>
            </w: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br/>
        <w:t>NM - Not meaningful</w:t>
      </w:r>
    </w:p>
    <w:p>
      <w:pPr>
        <w:pStyle w:val="TextBody"/>
        <w:bidi w:val="0"/>
        <w:spacing w:lineRule="auto" w:line="288" w:before="120" w:after="283"/>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GAAP to Non-GAAP Reconciliation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reported results are presented in accordance with accounting principles generally accepted in the United States of America ("GAAP"). The reported results during the third quarter of fiscal 2024 reflect certain items which affect the comparability of our results, as noted in the following table. There were no charges affecting comparability during the third quarter of fiscal 2023. Refer to "Non-GAAP Measures" herein for further discussion on the Non-GAAP measures.</w:t>
      </w:r>
    </w:p>
    <w:p>
      <w:pPr>
        <w:pStyle w:val="TextBody"/>
        <w:bidi w:val="0"/>
        <w:spacing w:lineRule="auto" w:line="288" w:before="120" w:after="283"/>
        <w:ind w:left="0" w:right="0" w:hanging="360"/>
        <w:jc w:val="both"/>
        <w:rPr>
          <w:rFonts w:ascii="Times New Roman;sans-serif" w:hAnsi="Times New Roman;sans-serif"/>
          <w:b/>
          <w:color w:val="000000"/>
          <w:sz w:val="20"/>
          <w:u w:val="single"/>
        </w:rPr>
      </w:pPr>
      <w:r>
        <w:rPr>
          <w:rFonts w:ascii="Times New Roman;sans-serif" w:hAnsi="Times New Roman;sans-serif"/>
          <w:b/>
          <w:color w:val="000000"/>
          <w:sz w:val="20"/>
          <w:u w:val="single"/>
        </w:rPr>
        <w:t>Third Quarter Fiscal 2024 Items</w:t>
      </w:r>
    </w:p>
    <w:tbl>
      <w:tblPr>
        <w:tblW w:w="8917" w:type="dxa"/>
        <w:jc w:val="center"/>
        <w:tblInd w:w="0" w:type="dxa"/>
        <w:tblLayout w:type="fixed"/>
        <w:tblCellMar>
          <w:top w:w="28" w:type="dxa"/>
          <w:left w:w="28" w:type="dxa"/>
          <w:bottom w:w="28" w:type="dxa"/>
          <w:right w:w="28" w:type="dxa"/>
        </w:tblCellMar>
      </w:tblPr>
      <w:tblGrid>
        <w:gridCol w:w="1377"/>
        <w:gridCol w:w="1204"/>
        <w:gridCol w:w="1213"/>
        <w:gridCol w:w="279"/>
        <w:gridCol w:w="836"/>
        <w:gridCol w:w="144"/>
        <w:gridCol w:w="109"/>
        <w:gridCol w:w="109"/>
        <w:gridCol w:w="109"/>
        <w:gridCol w:w="388"/>
        <w:gridCol w:w="969"/>
        <w:gridCol w:w="203"/>
        <w:gridCol w:w="109"/>
        <w:gridCol w:w="109"/>
        <w:gridCol w:w="109"/>
        <w:gridCol w:w="349"/>
        <w:gridCol w:w="1045"/>
        <w:gridCol w:w="256"/>
      </w:tblGrid>
      <w:tr>
        <w:trPr/>
        <w:tc>
          <w:tcPr>
            <w:tcW w:w="137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30, 2024</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Items Affecting Comparability</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Basis</w:t>
              <w:br/>
              <w:t>(Excluding Items)</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(millions, except per share data) </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204.3</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(35.0)</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139.4</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diluted common share</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0.60</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(0.21)</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0.81</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fiscal 2024, the Company incurred charges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Acquisition Costs</w:t>
      </w:r>
      <w:r>
        <w:rPr>
          <w:color w:val="000000"/>
        </w:rPr>
        <w:t xml:space="preserve"> </w:t>
      </w:r>
      <w:r>
        <w:rPr>
          <w:rFonts w:ascii="Times New Roman;sans-serif" w:hAnsi="Times New Roman;sans-serif"/>
          <w:b w:val="false"/>
          <w:color w:val="000000"/>
          <w:sz w:val="20"/>
        </w:rPr>
        <w:t>- Total pre-tax charges of $67.9 million attributable to the Capri Acquisition. These charges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SG&amp;A expenses</w:t>
      </w:r>
      <w:r>
        <w:rPr>
          <w:rFonts w:ascii="Times New Roman;sans-serif" w:hAnsi="Times New Roman;sans-serif"/>
          <w:b w:val="false"/>
          <w:color w:val="000000"/>
          <w:sz w:val="20"/>
        </w:rPr>
        <w:t>: $35.0 million primarily related to professional fees recorded within Corporate;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$32.9 million of financing related charges, which primarily includes the net impact of the Capri Acquisition Senior Notes.</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20"/>
        </w:rPr>
        <w:t>These actions taken together negatively impacted operating income by $35.0 million, increased interest expense by $32.9 million and reduced the provision for income tax by $17.2 million resulting in a net decrease in net income by $50.7 million or $0.21 per diluted share.</w:t>
      </w:r>
    </w:p>
    <w:p>
      <w:pPr>
        <w:pStyle w:val="TextBody"/>
        <w:bidi w:val="0"/>
        <w:spacing w:lineRule="auto" w:line="288" w:before="2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Supplemental Segment Data</w:t>
      </w:r>
    </w:p>
    <w:tbl>
      <w:tblPr>
        <w:tblW w:w="6592" w:type="dxa"/>
        <w:jc w:val="left"/>
        <w:tblInd w:w="0" w:type="dxa"/>
        <w:tblLayout w:type="fixed"/>
        <w:tblCellMar>
          <w:top w:w="28" w:type="dxa"/>
          <w:left w:w="28" w:type="dxa"/>
          <w:bottom w:w="28" w:type="dxa"/>
          <w:right w:w="28" w:type="dxa"/>
        </w:tblCellMar>
      </w:tblPr>
      <w:tblGrid>
        <w:gridCol w:w="533"/>
        <w:gridCol w:w="466"/>
        <w:gridCol w:w="470"/>
        <w:gridCol w:w="279"/>
        <w:gridCol w:w="836"/>
        <w:gridCol w:w="144"/>
        <w:gridCol w:w="109"/>
        <w:gridCol w:w="109"/>
        <w:gridCol w:w="109"/>
        <w:gridCol w:w="388"/>
        <w:gridCol w:w="969"/>
        <w:gridCol w:w="203"/>
        <w:gridCol w:w="109"/>
        <w:gridCol w:w="109"/>
        <w:gridCol w:w="109"/>
        <w:gridCol w:w="349"/>
        <w:gridCol w:w="1045"/>
        <w:gridCol w:w="256"/>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30, 2024</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Items Affecting Comparability</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Basis</w:t>
              <w:br/>
              <w:t>(Excluding Items)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(millions) </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528.6</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SG&amp;A expenses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903.1</w:t>
            </w: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w:t>
            </w: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868.1</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Tapestry, Inc. Summary – Third Quarter of Fiscal 2024 </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Currency Fluctuation Effects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net sales for the third quarter of fiscal 2024 compared to the third quarter of fiscal 2023 has been presented both including and excluding currency fluctuation impacts. All percentages shown in the tables below and the discussion that follows have been calculated using unrounded numbers.</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Net Sales</w:t>
      </w:r>
    </w:p>
    <w:tbl>
      <w:tblPr>
        <w:tblW w:w="9653" w:type="dxa"/>
        <w:jc w:val="left"/>
        <w:tblInd w:w="0" w:type="dxa"/>
        <w:tblLayout w:type="fixed"/>
        <w:tblCellMar>
          <w:top w:w="28" w:type="dxa"/>
          <w:left w:w="28" w:type="dxa"/>
          <w:bottom w:w="28" w:type="dxa"/>
          <w:right w:w="28" w:type="dxa"/>
        </w:tblCellMar>
      </w:tblPr>
      <w:tblGrid>
        <w:gridCol w:w="580"/>
        <w:gridCol w:w="510"/>
        <w:gridCol w:w="514"/>
        <w:gridCol w:w="276"/>
        <w:gridCol w:w="1022"/>
        <w:gridCol w:w="142"/>
        <w:gridCol w:w="109"/>
        <w:gridCol w:w="109"/>
        <w:gridCol w:w="109"/>
        <w:gridCol w:w="230"/>
        <w:gridCol w:w="836"/>
        <w:gridCol w:w="119"/>
        <w:gridCol w:w="109"/>
        <w:gridCol w:w="109"/>
        <w:gridCol w:w="109"/>
        <w:gridCol w:w="211"/>
        <w:gridCol w:w="586"/>
        <w:gridCol w:w="109"/>
        <w:gridCol w:w="109"/>
        <w:gridCol w:w="109"/>
        <w:gridCol w:w="109"/>
        <w:gridCol w:w="291"/>
        <w:gridCol w:w="294"/>
        <w:gridCol w:w="271"/>
        <w:gridCol w:w="109"/>
        <w:gridCol w:w="109"/>
        <w:gridCol w:w="109"/>
        <w:gridCol w:w="478"/>
        <w:gridCol w:w="478"/>
        <w:gridCol w:w="1398"/>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Constant Currency Change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1,145.6</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Stuart Weitzman </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56.1</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Tapestry</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1,482.4</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 the third quarter of fiscal 2024 decreased 1.8% or $27.1 million to $1.48 billion. Excluding the impact of foreign currency, net sales decreased by 0.2% or $3.6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Coach Net Sales</w:t>
      </w:r>
      <w:r>
        <w:rPr>
          <w:color w:val="000000"/>
        </w:rPr>
        <w:t xml:space="preserve"> </w:t>
      </w:r>
      <w:r>
        <w:rPr>
          <w:rFonts w:ascii="Times New Roman;sans-serif" w:hAnsi="Times New Roman;sans-serif"/>
          <w:b w:val="false"/>
          <w:color w:val="000000"/>
          <w:sz w:val="20"/>
        </w:rPr>
        <w:t xml:space="preserve">increased 0.1% or $1.6 million to $1.15 billion in the third quarter of fiscal 2024. Excluding the impact of foreign currency, net sales increased 1.9% or $22.2 million. This increase in net sales was primarily due to an increase of $39.8 million in wholesale sales primarily driven by international, partially offset by a decrease of $21.8 million in net retail sales, mainly driven by e-commerce sales in North America.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Kate Spade Net Sales </w:t>
      </w:r>
      <w:r>
        <w:rPr>
          <w:rFonts w:ascii="Times New Roman;sans-serif" w:hAnsi="Times New Roman;sans-serif"/>
          <w:b w:val="false"/>
          <w:color w:val="000000"/>
          <w:sz w:val="20"/>
        </w:rPr>
        <w:t>decreased 5.6% or $16.5 million to $280.7 million in the third quarter of fiscal 2024. Excluding the impact of foreign currency, net sales decreased 4.8% or $14.2 million. This decrease in net sales was due a decrease of $21.4 million in net retail sales as a result of lower store and e-commerce sales, partially offset by an increase of $5.7 million in wholesale sales primarily driven by North America.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Stuart Weitzman Net Sales </w:t>
      </w:r>
      <w:r>
        <w:rPr>
          <w:rFonts w:ascii="Times New Roman;sans-serif" w:hAnsi="Times New Roman;sans-serif"/>
          <w:b w:val="false"/>
          <w:color w:val="000000"/>
          <w:sz w:val="20"/>
        </w:rPr>
        <w:t>decreased 17.8% or $12.2 million to $56.1 million in the third quarter of fiscal 2024. Excluding the impact of foreign currency, net sales decreased 16.9% or $11.6 million.</w:t>
      </w:r>
    </w:p>
    <w:p>
      <w:pPr>
        <w:pStyle w:val="TextBody"/>
        <w:bidi w:val="0"/>
        <w:spacing w:lineRule="auto" w:line="288" w:before="120" w:after="120"/>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Gross Profit</w:t>
      </w:r>
    </w:p>
    <w:tbl>
      <w:tblPr>
        <w:tblW w:w="9751" w:type="dxa"/>
        <w:jc w:val="left"/>
        <w:tblInd w:w="0" w:type="dxa"/>
        <w:tblLayout w:type="fixed"/>
        <w:tblCellMar>
          <w:top w:w="28" w:type="dxa"/>
          <w:left w:w="28" w:type="dxa"/>
          <w:bottom w:w="28" w:type="dxa"/>
          <w:right w:w="28" w:type="dxa"/>
        </w:tblCellMar>
      </w:tblPr>
      <w:tblGrid>
        <w:gridCol w:w="580"/>
        <w:gridCol w:w="510"/>
        <w:gridCol w:w="514"/>
        <w:gridCol w:w="211"/>
        <w:gridCol w:w="781"/>
        <w:gridCol w:w="109"/>
        <w:gridCol w:w="109"/>
        <w:gridCol w:w="109"/>
        <w:gridCol w:w="109"/>
        <w:gridCol w:w="275"/>
        <w:gridCol w:w="275"/>
        <w:gridCol w:w="769"/>
        <w:gridCol w:w="109"/>
        <w:gridCol w:w="109"/>
        <w:gridCol w:w="109"/>
        <w:gridCol w:w="211"/>
        <w:gridCol w:w="766"/>
        <w:gridCol w:w="109"/>
        <w:gridCol w:w="109"/>
        <w:gridCol w:w="109"/>
        <w:gridCol w:w="109"/>
        <w:gridCol w:w="283"/>
        <w:gridCol w:w="283"/>
        <w:gridCol w:w="708"/>
        <w:gridCol w:w="109"/>
        <w:gridCol w:w="109"/>
        <w:gridCol w:w="109"/>
        <w:gridCol w:w="211"/>
        <w:gridCol w:w="511"/>
        <w:gridCol w:w="109"/>
        <w:gridCol w:w="109"/>
        <w:gridCol w:w="109"/>
        <w:gridCol w:w="109"/>
        <w:gridCol w:w="291"/>
        <w:gridCol w:w="294"/>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77.7</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65.4</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Stuart Weitzman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58.0</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Tapestry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74.7</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0.8% or $9.1 million to $1.11 billion in the third quarter of fiscal 2024 from $1.10 billion in the third quarter of fiscal 2023. Gross margin for the third quarter of fiscal 2024 increased 190 basis points to 74.7% as compared to 72.8% in the third quarter of fiscal 2023. This increase in Gross margin was primarily attributed to lower freight costs, favorable currency translation and net pricing improvements. Refer to "Current Macroeconomic Conditions and Outlook" for further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 Expenses ("SG&amp;A")</w:t>
      </w:r>
    </w:p>
    <w:tbl>
      <w:tblPr>
        <w:tblW w:w="9377" w:type="dxa"/>
        <w:jc w:val="left"/>
        <w:tblInd w:w="0" w:type="dxa"/>
        <w:tblLayout w:type="fixed"/>
        <w:tblCellMar>
          <w:top w:w="28" w:type="dxa"/>
          <w:left w:w="28" w:type="dxa"/>
          <w:bottom w:w="28" w:type="dxa"/>
          <w:right w:w="28" w:type="dxa"/>
        </w:tblCellMar>
      </w:tblPr>
      <w:tblGrid>
        <w:gridCol w:w="580"/>
        <w:gridCol w:w="510"/>
        <w:gridCol w:w="514"/>
        <w:gridCol w:w="211"/>
        <w:gridCol w:w="631"/>
        <w:gridCol w:w="109"/>
        <w:gridCol w:w="109"/>
        <w:gridCol w:w="109"/>
        <w:gridCol w:w="109"/>
        <w:gridCol w:w="275"/>
        <w:gridCol w:w="275"/>
        <w:gridCol w:w="769"/>
        <w:gridCol w:w="109"/>
        <w:gridCol w:w="109"/>
        <w:gridCol w:w="109"/>
        <w:gridCol w:w="211"/>
        <w:gridCol w:w="616"/>
        <w:gridCol w:w="109"/>
        <w:gridCol w:w="109"/>
        <w:gridCol w:w="109"/>
        <w:gridCol w:w="109"/>
        <w:gridCol w:w="283"/>
        <w:gridCol w:w="283"/>
        <w:gridCol w:w="708"/>
        <w:gridCol w:w="109"/>
        <w:gridCol w:w="109"/>
        <w:gridCol w:w="109"/>
        <w:gridCol w:w="211"/>
        <w:gridCol w:w="511"/>
        <w:gridCol w:w="109"/>
        <w:gridCol w:w="109"/>
        <w:gridCol w:w="109"/>
        <w:gridCol w:w="109"/>
        <w:gridCol w:w="254"/>
        <w:gridCol w:w="257"/>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46.1</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61.8</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Stuart Weitzman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66.4</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Corporate</w:t>
            </w:r>
            <w:r>
              <w:rPr>
                <w:rFonts w:ascii="Times New Roman;sans-serif" w:hAnsi="Times New Roman;sans-serif"/>
                <w:b/>
                <w:color w:val="000000"/>
                <w:sz w:val="13"/>
              </w:rPr>
              <w:t>(1)(2)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Tapestry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60.9</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SG&amp;A expenses increased 3.6% or $31.1 million to $903.1 million in the third quarter of fiscal 2024 as compared to $872.0 million in the third quarter of fiscal 2023. As a percentage of net sales, SG&amp;A expenses increased to 60.9% during the third quarter of fiscal 2024 from 57.8% during the third quarter of fiscal 2023. Excluding items affecting comparability of $35.0 million in the third quarter of fiscal 2024, SG&amp;A expenses decreased 0.4% or $3.9 million to $868.1 million from $872.0 million in the third quarter of fiscal 2023. SG&amp;A as a percentage of net sales increased 80 basis points to 58.6% as compared to 57.8% during the third quarter of fiscal 2023. This increase in SG&amp;A as a percentage of net sales was primarily due to higher marketing spend, higher professional fees, partially offset by a decrease in selling costs.</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 the third quarter of fiscal 2024, Corporate incurred charges affecting comparability of $35.0 million. Excluding those items affecting comparability, SG&amp;A expenses increased 3.2% or $4 million to $128.7 million in the third quarter of fiscal 2024 as compared to $124.7 million in the third quarter of fiscal 2023.</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Corporate expenses, which are included within SG&amp;A expenses discussed above but are not directly attributable to a reportable segment.</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Operating Income (Loss)</w:t>
      </w:r>
    </w:p>
    <w:tbl>
      <w:tblPr>
        <w:tblW w:w="9526" w:type="dxa"/>
        <w:jc w:val="left"/>
        <w:tblInd w:w="0" w:type="dxa"/>
        <w:tblLayout w:type="fixed"/>
        <w:tblCellMar>
          <w:top w:w="28" w:type="dxa"/>
          <w:left w:w="28" w:type="dxa"/>
          <w:bottom w:w="28" w:type="dxa"/>
          <w:right w:w="28" w:type="dxa"/>
        </w:tblCellMar>
      </w:tblPr>
      <w:tblGrid>
        <w:gridCol w:w="580"/>
        <w:gridCol w:w="510"/>
        <w:gridCol w:w="514"/>
        <w:gridCol w:w="211"/>
        <w:gridCol w:w="631"/>
        <w:gridCol w:w="109"/>
        <w:gridCol w:w="109"/>
        <w:gridCol w:w="109"/>
        <w:gridCol w:w="109"/>
        <w:gridCol w:w="275"/>
        <w:gridCol w:w="275"/>
        <w:gridCol w:w="769"/>
        <w:gridCol w:w="109"/>
        <w:gridCol w:w="109"/>
        <w:gridCol w:w="109"/>
        <w:gridCol w:w="211"/>
        <w:gridCol w:w="616"/>
        <w:gridCol w:w="109"/>
        <w:gridCol w:w="109"/>
        <w:gridCol w:w="109"/>
        <w:gridCol w:w="109"/>
        <w:gridCol w:w="283"/>
        <w:gridCol w:w="283"/>
        <w:gridCol w:w="708"/>
        <w:gridCol w:w="109"/>
        <w:gridCol w:w="109"/>
        <w:gridCol w:w="109"/>
        <w:gridCol w:w="211"/>
        <w:gridCol w:w="586"/>
        <w:gridCol w:w="109"/>
        <w:gridCol w:w="109"/>
        <w:gridCol w:w="109"/>
        <w:gridCol w:w="109"/>
        <w:gridCol w:w="291"/>
        <w:gridCol w:w="294"/>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Stuart Weitzman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Tapestry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decreased 9.8% or $22.0 million to $204.3 million in the third quarter of fiscal 2024 as compared to $226.3 million in the third quarter of fiscal 2023. Operating margin was 13.8% in the third quarter of fiscal 2024 as compared to 15.0% in the third quarter of fiscal 2023. Excluding items affecting comparability of $35.0 million in the third quarter of fiscal 2024, operating income increased $13.0 million to $239.3 million in the third quarter of fiscal 2024 from $226.3 million in the third quarter of fiscal 2023; and operating margin increased 110 basis points to 16.1% in the third quarter of fiscal 2024 as compared to 15.0% in the third quarter of fiscal 2023. This increase in operating margin was primarily attributed to a 190 basis points increase in gross margin partially offset by an increase of 80 basis points in SG&amp;A as a percentage of sales.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Coach Operating Income</w:t>
      </w:r>
      <w:r>
        <w:rPr>
          <w:color w:val="000000"/>
        </w:rPr>
        <w:t xml:space="preserve"> </w:t>
      </w:r>
      <w:r>
        <w:rPr>
          <w:rFonts w:ascii="Times New Roman;sans-serif" w:hAnsi="Times New Roman;sans-serif"/>
          <w:b w:val="false"/>
          <w:color w:val="000000"/>
          <w:sz w:val="20"/>
        </w:rPr>
        <w:t>increased $20.5 million to $362.7 million in the third quarter of fiscal 2024, resulting in an operating margin increase of 170 basis points to 31.6%, as compared to $342.2 million and 29.9%, respectively, in the third quarter of fiscal 2023. This increase in operating margin was primarily attributed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 xml:space="preserve">increased 200 basis points mainly due to lower freight costs, net pricing improvements and favorable currency translation;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SG&amp;A expenses as a percentage of net sales</w:t>
      </w:r>
      <w:r>
        <w:rPr>
          <w:rFonts w:ascii="Times New Roman;sans-serif" w:hAnsi="Times New Roman;sans-serif"/>
          <w:b w:val="false"/>
          <w:color w:val="000000"/>
          <w:sz w:val="20"/>
        </w:rPr>
        <w:t>, increased 30 basis points mainly due to by higher marketing spend, partially offset by a decrease in selling and distribution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Kate Spade Operating Income</w:t>
      </w:r>
      <w:r>
        <w:rPr>
          <w:color w:val="000000"/>
        </w:rPr>
        <w:t xml:space="preserve"> </w:t>
      </w:r>
      <w:r>
        <w:rPr>
          <w:rFonts w:ascii="Times New Roman;sans-serif" w:hAnsi="Times New Roman;sans-serif"/>
          <w:b w:val="false"/>
          <w:color w:val="000000"/>
          <w:sz w:val="20"/>
        </w:rPr>
        <w:t>increased $2.0 million to $10.0 million in the third quarter of fiscal 2024, resulting in an operating margin increase of 90 basis points to 3.6%, as compared to $8.0 million and operating margin of 2.7% in the third quarter of fiscal 2023. This increase in operating margin was primarily attributed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Gross Margin</w:t>
      </w:r>
      <w:r>
        <w:rPr>
          <w:rFonts w:ascii="Times New Roman;sans-serif" w:hAnsi="Times New Roman;sans-serif"/>
          <w:b w:val="false"/>
          <w:color w:val="000000"/>
          <w:sz w:val="20"/>
        </w:rPr>
        <w:t xml:space="preserve">, increased 110 basis points mainly due to lower freight costs;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SG&amp;A expenses as a percentage of net sales,</w:t>
      </w:r>
      <w:r>
        <w:rPr>
          <w:color w:val="000000"/>
        </w:rPr>
        <w:t xml:space="preserve"> </w:t>
      </w:r>
      <w:r>
        <w:rPr>
          <w:rFonts w:ascii="Times New Roman;sans-serif" w:hAnsi="Times New Roman;sans-serif"/>
          <w:b w:val="false"/>
          <w:color w:val="000000"/>
          <w:sz w:val="20"/>
        </w:rPr>
        <w:t>increased 20 basis points mainly due to an increase in distribution costs and higher information technology costs, partially offset by lower selling and compensation costs.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Stuart Weitzman Operating Income</w:t>
      </w:r>
      <w:r>
        <w:rPr>
          <w:color w:val="000000"/>
        </w:rPr>
        <w:t xml:space="preserve"> </w:t>
      </w:r>
      <w:r>
        <w:rPr>
          <w:rFonts w:ascii="Times New Roman;sans-serif" w:hAnsi="Times New Roman;sans-serif"/>
          <w:b w:val="false"/>
          <w:color w:val="000000"/>
          <w:sz w:val="20"/>
        </w:rPr>
        <w:t xml:space="preserve">decreased $5.5 million to a loss of $4.7 million in the third quarter of fiscal 2024, resulting in an operating margin decrease of 950 basis points to (8.4)%, as compared to operating income of $0.8 million and operating margin of 1.1% in the third quarter of fiscal 2023.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Corporate Operating Expenses</w:t>
      </w:r>
      <w:r>
        <w:rPr>
          <w:color w:val="000000"/>
        </w:rPr>
        <w:t xml:space="preserve"> </w:t>
      </w:r>
      <w:r>
        <w:rPr>
          <w:rFonts w:ascii="Times New Roman;sans-serif" w:hAnsi="Times New Roman;sans-serif"/>
          <w:b w:val="false"/>
          <w:color w:val="000000"/>
          <w:sz w:val="20"/>
        </w:rPr>
        <w:t>increased 31.3% or $39.0 million to $163.7 million in the third quarter of fiscal 2024. Excluding items affecting comparability, Corporate operating expenses increased $4 million to $128.7 million from $124.7 million in the third quarter of fiscal 2023. This increase in operating expenses was attributed to an increase in SG&amp;A expenses primarily due to higher professional fees.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expense increased $25.9 million to $32.0 million in the third quarter of fiscal 2024 as compared to $6.1 million in the third quarter of fiscal 2023. Excluding items affecting comparability, net interest expense decreased $7.0 million to net interest income of $0.9 million from interest expense of $6.1 million in the third quarter of fiscal 2023. This decrease in Interest expense, net was mainly due to higher interest income partially offset by higher interest on the Term Loan due 2027.</w:t>
      </w:r>
    </w:p>
    <w:p>
      <w:pPr>
        <w:pStyle w:val="TextBody"/>
        <w:bidi w:val="0"/>
        <w:spacing w:lineRule="auto" w:line="288" w:before="120" w:after="283"/>
        <w:ind w:left="0" w:right="0" w:firstLine="45"/>
        <w:jc w:val="both"/>
        <w:rPr>
          <w:rFonts w:ascii="Times New Roman;sans-serif" w:hAnsi="Times New Roman;sans-serif"/>
          <w:b/>
          <w:color w:val="000000"/>
          <w:sz w:val="20"/>
        </w:rPr>
      </w:pPr>
      <w:r>
        <w:rPr>
          <w:rFonts w:ascii="Times New Roman;sans-serif" w:hAnsi="Times New Roman;sans-serif"/>
          <w:b/>
          <w:color w:val="000000"/>
          <w:sz w:val="20"/>
        </w:rPr>
        <w:t>Other Expense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increased $5.8 million to an expense of $2.8 million in the third quarter of fiscal 2024 as compared to income of $3.0 million in the third quarter of fiscal 2023. This increase in other expense was related to an increase in foreign exchange losses. </w:t>
      </w:r>
    </w:p>
    <w:p>
      <w:pPr>
        <w:pStyle w:val="TextBody"/>
        <w:bidi w:val="0"/>
        <w:spacing w:lineRule="auto" w:line="288" w:before="120" w:after="283"/>
        <w:ind w:left="0" w:right="0" w:firstLine="45"/>
        <w:jc w:val="both"/>
        <w:rPr>
          <w:rFonts w:ascii="Times New Roman;sans-serif" w:hAnsi="Times New Roman;sans-serif"/>
          <w:b/>
          <w:color w:val="000000"/>
          <w:sz w:val="20"/>
        </w:rPr>
      </w:pPr>
      <w:r>
        <w:rPr>
          <w:rFonts w:ascii="Times New Roman;sans-serif" w:hAnsi="Times New Roman;sans-serif"/>
          <w:b/>
          <w:color w:val="000000"/>
          <w:sz w:val="20"/>
        </w:rPr>
        <w:t>Provision (Benefit) for Income Taxes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17.7% in the third quarter of fiscal 2024 as compared to 16.4% in the third quarter of fiscal 2023. Excluding items affecting comparability, the effective tax rate was 19.9% in the third quarter of fiscal 2024 as compared to 16.4% in the third quarter of fiscal 2023. The increase in effective tax rate was primarily driven by discrete items recognized in the period partially offset by geographic mix of earnings. </w:t>
      </w:r>
    </w:p>
    <w:p>
      <w:pPr>
        <w:pStyle w:val="TextBody"/>
        <w:bidi w:val="0"/>
        <w:spacing w:lineRule="auto" w:line="288" w:before="120" w:after="283"/>
        <w:ind w:left="0" w:right="0" w:firstLine="45"/>
        <w:jc w:val="both"/>
        <w:rPr>
          <w:rFonts w:ascii="Times New Roman;sans-serif" w:hAnsi="Times New Roman;sans-serif"/>
          <w:b/>
          <w:color w:val="000000"/>
          <w:sz w:val="20"/>
        </w:rPr>
      </w:pPr>
      <w:r>
        <w:rPr>
          <w:rFonts w:ascii="Times New Roman;sans-serif" w:hAnsi="Times New Roman;sans-serif"/>
          <w:b/>
          <w:color w:val="000000"/>
          <w:sz w:val="20"/>
        </w:rPr>
        <w:t>Net Income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decreased 25.3% or $47.3 million to $139.4 million in the third quarter of fiscal 2024 as compared to $186.7 million in the third quarter of fiscal 2023. Excluding items affecting comparability, net income increased 1.9% or $3.4 million to $190.1 million in the third quarter of fiscal 2024 from $186.7 million in the third quarter of fiscal 2023.</w:t>
      </w:r>
    </w:p>
    <w:p>
      <w:pPr>
        <w:pStyle w:val="TextBody"/>
        <w:bidi w:val="0"/>
        <w:spacing w:lineRule="auto" w:line="288" w:before="120" w:after="283"/>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was $0.60 in the third quarter of fiscal 2024 as compared to $0.78 in the third quarter of fiscal 2023. Excluding items affecting comparability, net income per diluted share increased $0.03 to $0.81 in the third quarter of fiscal 2024 from $0.78 in the third quarter of fiscal 2023. This change was primarily due to a decrease in shares outstanding and higher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FIRST NINE MONTHS FISCAL 2024 COMPARED TO FIRST NINE MONTHS FISCAL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results of operations for the first nine months of fiscal 2024 compared to the first nine months of fiscal 2023. All percentages shown in the table below and the discussion that follows have been calculated using unrounded numbers.</w:t>
      </w:r>
    </w:p>
    <w:tbl>
      <w:tblPr>
        <w:tblW w:w="10205" w:type="dxa"/>
        <w:jc w:val="left"/>
        <w:tblInd w:w="0" w:type="dxa"/>
        <w:tblLayout w:type="fixed"/>
        <w:tblCellMar>
          <w:top w:w="28" w:type="dxa"/>
          <w:left w:w="28" w:type="dxa"/>
          <w:bottom w:w="28" w:type="dxa"/>
          <w:right w:w="28" w:type="dxa"/>
        </w:tblCellMar>
      </w:tblPr>
      <w:tblGrid>
        <w:gridCol w:w="973"/>
        <w:gridCol w:w="806"/>
        <w:gridCol w:w="784"/>
        <w:gridCol w:w="211"/>
        <w:gridCol w:w="781"/>
        <w:gridCol w:w="109"/>
        <w:gridCol w:w="109"/>
        <w:gridCol w:w="109"/>
        <w:gridCol w:w="109"/>
        <w:gridCol w:w="315"/>
        <w:gridCol w:w="316"/>
        <w:gridCol w:w="463"/>
        <w:gridCol w:w="109"/>
        <w:gridCol w:w="109"/>
        <w:gridCol w:w="109"/>
        <w:gridCol w:w="211"/>
        <w:gridCol w:w="766"/>
        <w:gridCol w:w="109"/>
        <w:gridCol w:w="109"/>
        <w:gridCol w:w="109"/>
        <w:gridCol w:w="109"/>
        <w:gridCol w:w="308"/>
        <w:gridCol w:w="308"/>
        <w:gridCol w:w="433"/>
        <w:gridCol w:w="109"/>
        <w:gridCol w:w="109"/>
        <w:gridCol w:w="109"/>
        <w:gridCol w:w="211"/>
        <w:gridCol w:w="572"/>
        <w:gridCol w:w="109"/>
        <w:gridCol w:w="109"/>
        <w:gridCol w:w="109"/>
        <w:gridCol w:w="109"/>
        <w:gridCol w:w="232"/>
        <w:gridCol w:w="234"/>
        <w:gridCol w:w="319"/>
      </w:tblGrid>
      <w:tr>
        <w:trPr/>
        <w:tc>
          <w:tcPr>
            <w:tcW w:w="9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r>
      <w:tr>
        <w:trPr/>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4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(millions, except per share data) </w:t>
            </w:r>
          </w:p>
        </w:tc>
      </w:tr>
      <w:tr>
        <w:trPr/>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5,080.1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72.8</w:t>
            </w: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55.0</w:t>
            </w: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w:t>
            </w: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w:t>
            </w: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w:t>
            </w: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88" w:before="120" w:after="283"/>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GAAP to Non-GAAP Reconciliation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reported results are presented in accordance with accounting principles generally accepted in the United States of America ("GAAP"). The reported results during the first nine months of fiscal 2024 reflect certain items which affect the comparability of our results, as noted in the following table. There were no charges affecting comparability during the first nine months of fiscal 2023. Refer to "Non-GAAP Measures" herein for further discussion on the Non-GAAP measures.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First Nine Months of Fiscal 2024 Items</w:t>
      </w:r>
    </w:p>
    <w:tbl>
      <w:tblPr>
        <w:tblW w:w="8916" w:type="dxa"/>
        <w:jc w:val="center"/>
        <w:tblInd w:w="0" w:type="dxa"/>
        <w:tblLayout w:type="fixed"/>
        <w:tblCellMar>
          <w:top w:w="28" w:type="dxa"/>
          <w:left w:w="28" w:type="dxa"/>
          <w:bottom w:w="28" w:type="dxa"/>
          <w:right w:w="28" w:type="dxa"/>
        </w:tblCellMar>
      </w:tblPr>
      <w:tblGrid>
        <w:gridCol w:w="1377"/>
        <w:gridCol w:w="1204"/>
        <w:gridCol w:w="1213"/>
        <w:gridCol w:w="241"/>
        <w:gridCol w:w="894"/>
        <w:gridCol w:w="124"/>
        <w:gridCol w:w="109"/>
        <w:gridCol w:w="109"/>
        <w:gridCol w:w="109"/>
        <w:gridCol w:w="345"/>
        <w:gridCol w:w="1035"/>
        <w:gridCol w:w="180"/>
        <w:gridCol w:w="109"/>
        <w:gridCol w:w="109"/>
        <w:gridCol w:w="109"/>
        <w:gridCol w:w="303"/>
        <w:gridCol w:w="1125"/>
        <w:gridCol w:w="221"/>
      </w:tblGrid>
      <w:tr>
        <w:trPr/>
        <w:tc>
          <w:tcPr>
            <w:tcW w:w="137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March 30, 2024</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Items Affecting Comparability</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Basis</w:t>
              <w:br/>
              <w:t>(Excluding Items)</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(millions, except per share data) </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1,262.3</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108.7</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905.1</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988.0</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783.1</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diluted common share</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(0.54)</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w:t>
            </w:r>
            <w:r>
              <w:rPr>
                <w:color w:val="000000"/>
              </w:rPr>
              <w:t>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nine months of fiscal 2024, the Company incurred charges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Acquisition Costs</w:t>
      </w:r>
      <w:r>
        <w:rPr>
          <w:color w:val="000000"/>
        </w:rPr>
        <w:t xml:space="preserve"> </w:t>
      </w:r>
      <w:r>
        <w:rPr>
          <w:rFonts w:ascii="Times New Roman;sans-serif" w:hAnsi="Times New Roman;sans-serif"/>
          <w:b w:val="false"/>
          <w:color w:val="000000"/>
          <w:sz w:val="20"/>
        </w:rPr>
        <w:t>- Total pre-tax charges of $166.6 million attributable to the Capri Acquisition. These charges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 $83.7 million of financing related charges, which primarily includes the net impact of the Capri Acquisition Senior Notes and Bridge Facility financing fees;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SG&amp;A expenses</w:t>
      </w:r>
      <w:r>
        <w:rPr>
          <w:rFonts w:ascii="Times New Roman;sans-serif" w:hAnsi="Times New Roman;sans-serif"/>
          <w:b w:val="false"/>
          <w:color w:val="000000"/>
          <w:sz w:val="20"/>
        </w:rPr>
        <w:t xml:space="preserve">: $82.9 million primarily related to professional fees recorded within Corporate. </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20"/>
        </w:rPr>
        <w:t>These actions taken together negatively impacted operating income by $82.9 million, increased interest expense by $83.7 million and reduced the provision for income tax by $40.2 million resulting in a net decrease in net income by $126.4 million or $0.54 per diluted share.</w:t>
      </w:r>
    </w:p>
    <w:p>
      <w:pPr>
        <w:pStyle w:val="TextBody"/>
        <w:bidi w:val="0"/>
        <w:spacing w:lineRule="auto" w:line="288" w:before="2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Supplemental Segment Data</w:t>
      </w:r>
    </w:p>
    <w:tbl>
      <w:tblPr>
        <w:tblW w:w="6591" w:type="dxa"/>
        <w:jc w:val="left"/>
        <w:tblInd w:w="0" w:type="dxa"/>
        <w:tblLayout w:type="fixed"/>
        <w:tblCellMar>
          <w:top w:w="28" w:type="dxa"/>
          <w:left w:w="28" w:type="dxa"/>
          <w:bottom w:w="28" w:type="dxa"/>
          <w:right w:w="28" w:type="dxa"/>
        </w:tblCellMar>
      </w:tblPr>
      <w:tblGrid>
        <w:gridCol w:w="533"/>
        <w:gridCol w:w="466"/>
        <w:gridCol w:w="470"/>
        <w:gridCol w:w="241"/>
        <w:gridCol w:w="894"/>
        <w:gridCol w:w="124"/>
        <w:gridCol w:w="109"/>
        <w:gridCol w:w="109"/>
        <w:gridCol w:w="109"/>
        <w:gridCol w:w="388"/>
        <w:gridCol w:w="969"/>
        <w:gridCol w:w="203"/>
        <w:gridCol w:w="109"/>
        <w:gridCol w:w="109"/>
        <w:gridCol w:w="109"/>
        <w:gridCol w:w="303"/>
        <w:gridCol w:w="1125"/>
        <w:gridCol w:w="221"/>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March 30, 2024</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Items Affecting Comparability</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Basis</w:t>
              <w:b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Basis</w:t>
              <w:br/>
              <w:t>(Excluding Items)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(millions) </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Coach</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1,644.1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1,644.1</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Kate Spade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568.2</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Weitzman</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126.9</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126.9</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82.9</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371.1</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SG&amp;A expenses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2,793.2</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82.9</w:t>
            </w: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2,710.3</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Tapestry, Inc. Summary – First Nine Months of Fiscal 2024</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Currency Fluctuation Effects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net sales for the first nine months of fiscal 2024 compared to the first nine months of fiscal 2023 has been presented both including and excluding currency fluctuation impacts. All percentages shown in the tables below and the discussion that follows have been calculated using unrounded numbers.</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Net Sales</w:t>
      </w:r>
    </w:p>
    <w:tbl>
      <w:tblPr>
        <w:tblW w:w="9901" w:type="dxa"/>
        <w:jc w:val="left"/>
        <w:tblInd w:w="0" w:type="dxa"/>
        <w:tblLayout w:type="fixed"/>
        <w:tblCellMar>
          <w:top w:w="28" w:type="dxa"/>
          <w:left w:w="28" w:type="dxa"/>
          <w:bottom w:w="28" w:type="dxa"/>
          <w:right w:w="28" w:type="dxa"/>
        </w:tblCellMar>
      </w:tblPr>
      <w:tblGrid>
        <w:gridCol w:w="580"/>
        <w:gridCol w:w="510"/>
        <w:gridCol w:w="514"/>
        <w:gridCol w:w="276"/>
        <w:gridCol w:w="1022"/>
        <w:gridCol w:w="142"/>
        <w:gridCol w:w="109"/>
        <w:gridCol w:w="109"/>
        <w:gridCol w:w="109"/>
        <w:gridCol w:w="230"/>
        <w:gridCol w:w="836"/>
        <w:gridCol w:w="119"/>
        <w:gridCol w:w="109"/>
        <w:gridCol w:w="109"/>
        <w:gridCol w:w="109"/>
        <w:gridCol w:w="211"/>
        <w:gridCol w:w="616"/>
        <w:gridCol w:w="109"/>
        <w:gridCol w:w="109"/>
        <w:gridCol w:w="109"/>
        <w:gridCol w:w="109"/>
        <w:gridCol w:w="291"/>
        <w:gridCol w:w="294"/>
        <w:gridCol w:w="271"/>
        <w:gridCol w:w="109"/>
        <w:gridCol w:w="109"/>
        <w:gridCol w:w="109"/>
        <w:gridCol w:w="512"/>
        <w:gridCol w:w="512"/>
        <w:gridCol w:w="1285"/>
        <w:gridCol w:w="109"/>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Constant Currency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3,844.9</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1,044.3</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Stuart Weitzman </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190.9</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Tapestry</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5,080.1</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 the first nine months of fiscal 2024 increased 0.8% or $38.7 million to $5.08 billion. Excluding the impact of foreign currency, net sales increased by 1.8% or $88.5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Coach Net Sales</w:t>
      </w:r>
      <w:r>
        <w:rPr>
          <w:color w:val="000000"/>
        </w:rPr>
        <w:t xml:space="preserve"> </w:t>
      </w:r>
      <w:r>
        <w:rPr>
          <w:rFonts w:ascii="Times New Roman;sans-serif" w:hAnsi="Times New Roman;sans-serif"/>
          <w:b w:val="false"/>
          <w:color w:val="000000"/>
          <w:sz w:val="20"/>
        </w:rPr>
        <w:t>increased 3.6% or $131.9 million to $3.84 billion in the first nine months of fiscal 2024. Excluding the impact of foreign currency, net sales increased 4.7% or $175.4 million. This increase in net sales was primarily due to an increase of $104.7 million in net retail sales driven by an increase in store and to a lesser extent, e-commerce sales. The increase in net sales was also attributed to a $60.8 million increase in wholesale sales primarily driven by international.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Kate Spade Net Sales</w:t>
      </w:r>
      <w:r>
        <w:rPr>
          <w:color w:val="000000"/>
        </w:rPr>
        <w:t xml:space="preserve"> </w:t>
      </w:r>
      <w:r>
        <w:rPr>
          <w:rFonts w:ascii="Times New Roman;sans-serif" w:hAnsi="Times New Roman;sans-serif"/>
          <w:b w:val="false"/>
          <w:color w:val="000000"/>
          <w:sz w:val="20"/>
        </w:rPr>
        <w:t>decreased 5.9% or $65.1 million to $1.04 billion in the first nine months of fiscal 2024. Excluding the impact of foreign currency, net sales decreased 5.5% or $60.8 million. This decrease in net sales was primarily due a decrease of $55.0 million in net retail sales as a result of lower store and e-commerce sales.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Stuart Weitzman Net Sales </w:t>
      </w:r>
      <w:r>
        <w:rPr>
          <w:rFonts w:ascii="Times New Roman;sans-serif" w:hAnsi="Times New Roman;sans-serif"/>
          <w:b w:val="false"/>
          <w:color w:val="000000"/>
          <w:sz w:val="20"/>
        </w:rPr>
        <w:t>decreased 12.8% or $28.1 million to $190.9 million in the first nine months of fiscal 2024. Excluding the impact of foreign currency, net sales decreased 11.9% or $26.1 million.</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Gross Profit</w:t>
      </w:r>
    </w:p>
    <w:tbl>
      <w:tblPr>
        <w:tblW w:w="9856" w:type="dxa"/>
        <w:jc w:val="left"/>
        <w:tblInd w:w="0" w:type="dxa"/>
        <w:tblLayout w:type="fixed"/>
        <w:tblCellMar>
          <w:top w:w="28" w:type="dxa"/>
          <w:left w:w="28" w:type="dxa"/>
          <w:bottom w:w="28" w:type="dxa"/>
          <w:right w:w="28" w:type="dxa"/>
        </w:tblCellMar>
      </w:tblPr>
      <w:tblGrid>
        <w:gridCol w:w="580"/>
        <w:gridCol w:w="510"/>
        <w:gridCol w:w="514"/>
        <w:gridCol w:w="211"/>
        <w:gridCol w:w="781"/>
        <w:gridCol w:w="109"/>
        <w:gridCol w:w="109"/>
        <w:gridCol w:w="109"/>
        <w:gridCol w:w="109"/>
        <w:gridCol w:w="275"/>
        <w:gridCol w:w="275"/>
        <w:gridCol w:w="769"/>
        <w:gridCol w:w="109"/>
        <w:gridCol w:w="109"/>
        <w:gridCol w:w="109"/>
        <w:gridCol w:w="211"/>
        <w:gridCol w:w="766"/>
        <w:gridCol w:w="109"/>
        <w:gridCol w:w="109"/>
        <w:gridCol w:w="109"/>
        <w:gridCol w:w="109"/>
        <w:gridCol w:w="283"/>
        <w:gridCol w:w="283"/>
        <w:gridCol w:w="708"/>
        <w:gridCol w:w="109"/>
        <w:gridCol w:w="109"/>
        <w:gridCol w:w="109"/>
        <w:gridCol w:w="211"/>
        <w:gridCol w:w="616"/>
        <w:gridCol w:w="109"/>
        <w:gridCol w:w="109"/>
        <w:gridCol w:w="109"/>
        <w:gridCol w:w="109"/>
        <w:gridCol w:w="291"/>
        <w:gridCol w:w="294"/>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75.6</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Stuart Weitzman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60.2</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Tapestry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72.8</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4.4% or $156.1 million to $3.70 billion during the first nine months of fiscal 2024 from $3.54 billion in the first nine months of fiscal 2023. Gross margin in the first nine months of fiscal 2024 increased 250 basis points to 72.8% as compared to 70.3% in the first nine months of fiscal 2023. This increase in Gross margin was primarily attributed to lower freight costs, net pricing improvements, and favorable geography mix. Refer to "Current Macroeconomic Conditions and Outlook" for further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 Expenses ("SG&amp;A")</w:t>
      </w:r>
    </w:p>
    <w:tbl>
      <w:tblPr>
        <w:tblW w:w="9782" w:type="dxa"/>
        <w:jc w:val="left"/>
        <w:tblInd w:w="0" w:type="dxa"/>
        <w:tblLayout w:type="fixed"/>
        <w:tblCellMar>
          <w:top w:w="28" w:type="dxa"/>
          <w:left w:w="28" w:type="dxa"/>
          <w:bottom w:w="28" w:type="dxa"/>
          <w:right w:w="28" w:type="dxa"/>
        </w:tblCellMar>
      </w:tblPr>
      <w:tblGrid>
        <w:gridCol w:w="580"/>
        <w:gridCol w:w="510"/>
        <w:gridCol w:w="514"/>
        <w:gridCol w:w="211"/>
        <w:gridCol w:w="781"/>
        <w:gridCol w:w="109"/>
        <w:gridCol w:w="109"/>
        <w:gridCol w:w="109"/>
        <w:gridCol w:w="109"/>
        <w:gridCol w:w="275"/>
        <w:gridCol w:w="275"/>
        <w:gridCol w:w="769"/>
        <w:gridCol w:w="109"/>
        <w:gridCol w:w="109"/>
        <w:gridCol w:w="109"/>
        <w:gridCol w:w="211"/>
        <w:gridCol w:w="766"/>
        <w:gridCol w:w="109"/>
        <w:gridCol w:w="109"/>
        <w:gridCol w:w="109"/>
        <w:gridCol w:w="109"/>
        <w:gridCol w:w="283"/>
        <w:gridCol w:w="283"/>
        <w:gridCol w:w="708"/>
        <w:gridCol w:w="109"/>
        <w:gridCol w:w="109"/>
        <w:gridCol w:w="109"/>
        <w:gridCol w:w="211"/>
        <w:gridCol w:w="616"/>
        <w:gridCol w:w="109"/>
        <w:gridCol w:w="109"/>
        <w:gridCol w:w="109"/>
        <w:gridCol w:w="109"/>
        <w:gridCol w:w="254"/>
        <w:gridCol w:w="257"/>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54.4</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Stuart Weitzman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66.4</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Corporate</w:t>
            </w:r>
            <w:r>
              <w:rPr>
                <w:rFonts w:ascii="Times New Roman;sans-serif" w:hAnsi="Times New Roman;sans-serif"/>
                <w:b/>
                <w:color w:val="000000"/>
                <w:sz w:val="13"/>
              </w:rPr>
              <w:t>(1)(2)</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Tapestry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55.0</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increased 5.7% or $149.8 million to $2.79 billion in the first nine months of fiscal 2024 as compared to $2.64 billion in the first nine months of fiscal 2023. As a percentage of net sales, SG&amp;A expenses increased to 55.0% during the first nine months of fiscal 2024 from 52.4% during the first nine months of fiscal 2023. Excluding items affecting comparability of $82.9 million in the first nine months of fiscal 2024, SG&amp;A expenses increased 2.5% or $66.9 million to $2.71 billion from $2.64 billion the first nine months of fiscal 2023. SG&amp;A expenses as a percentage of net sales increased 90 basis points to 53.3% compared to 52.4% in the first nine months of fiscal 2023. This increase in SG&amp;A as a percentage of net sales was primarily due to higher compensation costs, increased occupancy costs, and higher marketing spend partially offset by a decrease in distribution costs. </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 the first nine months of fiscal 2024, Corporate incurred charges affecting comparability of $82.9 million. Excluding those items affecting comparability, SG&amp;A expenses increased 11.6% or $38.7 million to $371.1 million in the first nine months of fiscal 2024 as compared to $332.4 million in the first nine months of fiscal 2023.</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Corporate expenses, which are included within SG&amp;A expenses discussed above but are not directly attributable to a reportable segment.</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Operating Income (Loss)</w:t>
      </w:r>
    </w:p>
    <w:tbl>
      <w:tblPr>
        <w:tblW w:w="9856" w:type="dxa"/>
        <w:jc w:val="left"/>
        <w:tblInd w:w="0" w:type="dxa"/>
        <w:tblLayout w:type="fixed"/>
        <w:tblCellMar>
          <w:top w:w="28" w:type="dxa"/>
          <w:left w:w="28" w:type="dxa"/>
          <w:bottom w:w="28" w:type="dxa"/>
          <w:right w:w="28" w:type="dxa"/>
        </w:tblCellMar>
      </w:tblPr>
      <w:tblGrid>
        <w:gridCol w:w="580"/>
        <w:gridCol w:w="510"/>
        <w:gridCol w:w="514"/>
        <w:gridCol w:w="211"/>
        <w:gridCol w:w="781"/>
        <w:gridCol w:w="109"/>
        <w:gridCol w:w="109"/>
        <w:gridCol w:w="109"/>
        <w:gridCol w:w="109"/>
        <w:gridCol w:w="275"/>
        <w:gridCol w:w="275"/>
        <w:gridCol w:w="769"/>
        <w:gridCol w:w="109"/>
        <w:gridCol w:w="109"/>
        <w:gridCol w:w="109"/>
        <w:gridCol w:w="211"/>
        <w:gridCol w:w="766"/>
        <w:gridCol w:w="109"/>
        <w:gridCol w:w="109"/>
        <w:gridCol w:w="109"/>
        <w:gridCol w:w="109"/>
        <w:gridCol w:w="283"/>
        <w:gridCol w:w="283"/>
        <w:gridCol w:w="708"/>
        <w:gridCol w:w="109"/>
        <w:gridCol w:w="109"/>
        <w:gridCol w:w="109"/>
        <w:gridCol w:w="211"/>
        <w:gridCol w:w="616"/>
        <w:gridCol w:w="109"/>
        <w:gridCol w:w="109"/>
        <w:gridCol w:w="109"/>
        <w:gridCol w:w="109"/>
        <w:gridCol w:w="291"/>
        <w:gridCol w:w="294"/>
        <w:gridCol w:w="316"/>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Variance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Coach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Kate Spade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w:t>
            </w: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Stuart Weitzman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Corporate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Tapestry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w:t>
            </w: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$6.3 million to $905.1 million in the first nine months of fiscal 2024 as compared to $898.8 million in the first nine months of fiscal 2023. Operating margin remained even at 17.8% in the first nine months of fiscal 2024 as compared to the first nine months of fiscal 2023. Excluding items affecting comparability of $82.9 million in the first nine months of fiscal 2024, operating income increased $89.2 million to $988.0 million from $898.8 million in the first nine months of fiscal 2023; and operating margin increased 160 basis points to 19.4% in the first nine months of fiscal 2024 as compared to 17.8% in the first nine months of fiscal 2023. This increase in operating margin was primarily attributed to a 250 basis points increase in gross margin partially offset by an increase of 90 basis points in SG&amp;A as a percentage of sales.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Coach Operating Income</w:t>
      </w:r>
      <w:r>
        <w:rPr>
          <w:color w:val="000000"/>
        </w:rPr>
        <w:t xml:space="preserve"> </w:t>
      </w:r>
      <w:r>
        <w:rPr>
          <w:rFonts w:ascii="Times New Roman;sans-serif" w:hAnsi="Times New Roman;sans-serif"/>
          <w:b w:val="false"/>
          <w:color w:val="000000"/>
          <w:sz w:val="20"/>
        </w:rPr>
        <w:t>increased $127.7 million to $1.26 billion in the first nine months of fiscal 2024, resulting in an operating margin increase of 230 basis points to 32.9%, as compared to $1.13 billion and 30.6%, respectively, in the first nine months of fiscal 2023. This increase in operating margin was primarily attributed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 xml:space="preserve">increased 260 basis points mainly due to lower freight costs and net pricing improvements;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SG&amp;A expenses as a percentage of net sales</w:t>
      </w:r>
      <w:r>
        <w:rPr>
          <w:rFonts w:ascii="Times New Roman;sans-serif" w:hAnsi="Times New Roman;sans-serif"/>
          <w:b w:val="false"/>
          <w:color w:val="000000"/>
          <w:sz w:val="20"/>
        </w:rPr>
        <w:t>, increased 30 basis points mainly due to higher marketing spend and higher compensation costs, partially offset by a decrease in distribution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Kate Spade Operating Income </w:t>
      </w:r>
      <w:r>
        <w:rPr>
          <w:rFonts w:ascii="Times New Roman;sans-serif" w:hAnsi="Times New Roman;sans-serif"/>
          <w:b w:val="false"/>
          <w:color w:val="000000"/>
          <w:sz w:val="20"/>
        </w:rPr>
        <w:t>increased $8.5 million to $108.7 million in the first nine months of fiscal 2024, resulting in an operating margin increase of 140 basis points to 10.4%, as compared to $100.2 million and 9.0%, respectively, in the first nine months of fiscal 2023. This increase in operating margin was primarily attributed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Gross Margin</w:t>
      </w:r>
      <w:r>
        <w:rPr>
          <w:rFonts w:ascii="Times New Roman;sans-serif" w:hAnsi="Times New Roman;sans-serif"/>
          <w:b w:val="false"/>
          <w:color w:val="000000"/>
          <w:sz w:val="20"/>
        </w:rPr>
        <w:t xml:space="preserve">, increased 160 basis points mainly due to lower freight costs;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SG&amp;A expenses as a percentage of net sales,</w:t>
      </w:r>
      <w:r>
        <w:rPr>
          <w:color w:val="000000"/>
        </w:rPr>
        <w:t xml:space="preserve"> </w:t>
      </w:r>
      <w:r>
        <w:rPr>
          <w:rFonts w:ascii="Times New Roman;sans-serif" w:hAnsi="Times New Roman;sans-serif"/>
          <w:b w:val="false"/>
          <w:color w:val="000000"/>
          <w:sz w:val="20"/>
        </w:rPr>
        <w:t>increased 20 basis points mainly due to increased occupancy costs and higher information technology costs, partially offset by a decrease in depreciation.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Stuart Weitzman Operating Loss</w:t>
      </w:r>
      <w:r>
        <w:rPr>
          <w:color w:val="000000"/>
        </w:rPr>
        <w:t xml:space="preserve"> </w:t>
      </w:r>
      <w:r>
        <w:rPr>
          <w:rFonts w:ascii="Times New Roman;sans-serif" w:hAnsi="Times New Roman;sans-serif"/>
          <w:b w:val="false"/>
          <w:color w:val="000000"/>
          <w:sz w:val="20"/>
        </w:rPr>
        <w:t xml:space="preserve">increased $8.3 million to a loss of $11.9 million in the first nine months of fiscal 2024, resulting in an operating margin decrease of 460 basis points to (6.2)%, as compared to an operating loss of $3.6 million in the first nine months of fiscal 2023 and an operating margin of (1.6)%.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Corporate Operating Expenses</w:t>
      </w:r>
      <w:r>
        <w:rPr>
          <w:color w:val="000000"/>
        </w:rPr>
        <w:t xml:space="preserve"> </w:t>
      </w:r>
      <w:r>
        <w:rPr>
          <w:rFonts w:ascii="Times New Roman;sans-serif" w:hAnsi="Times New Roman;sans-serif"/>
          <w:b w:val="false"/>
          <w:color w:val="000000"/>
          <w:sz w:val="20"/>
        </w:rPr>
        <w:t>increased 36.6% or $121.6 million to $454.0 million in the first nine months of fiscal 2024. Excluding items affecting comparability, Corporate operating expenses increased $38.7 million to $371.1 million from $332.4 million in the first nine months of fiscal 2023. This increase in operating expenses was attributed to an increase in SG&amp;A expenses primarily due to higher compensation costs, increased occupancy costs, and higher professional fees.</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expense increased $73.1 million to $94.5 million in the first nine months of fiscal 2024 as compared to $21.4 million in the first nine months of fiscal 2023. Excluding items affecting comparability, net interest expense decreased $10.6 million to $10.8 million from $21.4 million in the first nine months of fiscal 2023. This decrease in Interest expense, net was mainly due to higher interest income partially offset by higher interest on the Term Loan due 2027.</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Other Expense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$1.6 million to income of $0.5 million in the first nine months of fiscal 2024 as compared to expense of $1.1 million in the first nine months of fiscal 2023. This increase in other income was related to an increase in foreign exchange gains.</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Provision (Benefit) for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was 19.0% in the first nine months of fiscal 2024 as compared to 18.8% in the first nine months of fiscal 2023. Excluding items affecting comparability, the effective tax rate was 19.9% in the first nine months of fiscal 2024 as compared to 18.8% in the first nine months of fiscal 2023.</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Net Income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decreased 7.8% or $55.2 million to $656.7 million in the first nine months of fiscal 2024 as compared to $711.9 million in the first nine months of fiscal 2023. Excluding items affecting comparability, net income increased $71.2 million to $783.1 million in the first nine months of fiscal 2024 from $711.9 million in the first nine months of fiscal 2023.</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Net Income (Loss) per Share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was $2.82 in the first nine months of fiscal 2024 as compared to net income per diluted share of $2.93 in the first nine months of fiscal 2023. Excluding items affecting comparability, net income per diluted share increased $0.43 to $3.36 in the first nine months of fiscal 2024 from $2.93 in the first nine months of fiscal 2023, primarily due to higher net income and a decrease in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reported results are presented in accordance with GAAP. The reported SG&amp;A expenses, operating income, interest expense, provision for income taxes, net income and earnings per diluted share in the three and nine months ended March 30, 2024 reflect certain items affecting comparability, including the impact of Acquisition costs. There were no items affecting comparability in the first nine months of fiscal 2023. As a supplement to the Company's reported results, these metrics are also reported on a non-GAAP basis to exclude the impact of these items along with a reconciliation to the most directly comparable GAAP measures.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human resources committee of the Company’s Board uses these non-GAAP measures when setting and assessing achievement of incentive compensation goals.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on these non-GAAP measures, see the GAAP to Non-GAAP Reconciliation discussions above in this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Flows</w:t>
      </w:r>
    </w:p>
    <w:tbl>
      <w:tblPr>
        <w:tblW w:w="9309" w:type="dxa"/>
        <w:jc w:val="left"/>
        <w:tblInd w:w="0" w:type="dxa"/>
        <w:tblLayout w:type="fixed"/>
        <w:tblCellMar>
          <w:top w:w="28" w:type="dxa"/>
          <w:left w:w="28" w:type="dxa"/>
          <w:bottom w:w="28" w:type="dxa"/>
          <w:right w:w="28" w:type="dxa"/>
        </w:tblCellMar>
      </w:tblPr>
      <w:tblGrid>
        <w:gridCol w:w="1839"/>
        <w:gridCol w:w="1617"/>
        <w:gridCol w:w="1629"/>
        <w:gridCol w:w="109"/>
        <w:gridCol w:w="109"/>
        <w:gridCol w:w="109"/>
        <w:gridCol w:w="211"/>
        <w:gridCol w:w="781"/>
        <w:gridCol w:w="109"/>
        <w:gridCol w:w="109"/>
        <w:gridCol w:w="109"/>
        <w:gridCol w:w="109"/>
        <w:gridCol w:w="211"/>
        <w:gridCol w:w="691"/>
        <w:gridCol w:w="109"/>
        <w:gridCol w:w="109"/>
        <w:gridCol w:w="109"/>
        <w:gridCol w:w="109"/>
        <w:gridCol w:w="211"/>
        <w:gridCol w:w="76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(millions)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6,249.0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increased by $6.2 billion in the first nine months of fiscal 2024 as compared to a decrease of $152.6 million in the first nine months of fiscal 2023, as discussed below.</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$424.8 million primarily due to changes in operating assets and liabilities of $429.7 million, higher impact of non-cash adjustments of $50.3 million, partially offset by lower net income of $55.2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$429.7 million increase in changes in operating asset and liability balances were primarily driven by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Accrued liabilities were a source of cash of $94.2 million in the first nine months of fiscal 2024 compared to a use of cash of $161.2 million in the first nine months of fiscal 2023, primarily driven by an increase in accrued interest due to bond issuances and accrued incentive compensation.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Accounts payable were a use of cash of $50.3 million in the first nine months of fiscal 2024 compared to a use of cash of $166.7 million in the first nine months of fiscal 2023, primarily driven by lower in-transit inventory compared to the prior year end.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Assets were a source of cash of $73.6 million in the first nine months of fiscal 2024 compared to a source of cash of $13.4 million in the first nine months of fiscal 2023, primarily driven by a decrease in prepaid expenses due to less cloud computing project spend and a tax refund in the current year.</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the first nine months of fiscal 2024 was $486.1 million as compared to a source of cash of $40.6 million in the first nine months of fiscal 2023, resulting in a $526.7 million increase in net cash used in 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$486.1 million use of cash in the first nine months of fiscal 2024 was primarily due to purchases of investments of $1.1 billion, partially offset by maturities and sales of investments of $702.6 million, primarily related to the proceeds of the senior unsecured notes issued to fund the Capri Acquisition.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$40.6 million source of cash in the first nine months of fiscal 2023 was primarily due to proceeds from maturities and sales of investments of $154.6 million, settlement of net investment hedge of $41.9 million, partially offset by capital expenditures of $149.6 million.</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$5.7 billion in the first nine months of fiscal 2024 as compared to a use of cash of $768.7 million in the first nine months of fiscal 2023, resulting in a net increase of cash provided by financing activities of $6.5 billion.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$5.7 billion source of cash in the first nine months of fiscal 2024 was primarily due to proceeds from the issuance of senior unsecured notes to fund the Capri Acquisition of $6.1 billion, partially offset by dividend payments of $240.9 million as well as payment of debt issuance costs of $78.3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$768.7 million use of cash in the first nine months of fiscal 2023 was primarily due to repurchase of common stock of $502.0 million, dividend payments of $214.2 million, as well as taxes paid to net settle share-based awards of $55.3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Effect of exchange rate changes on cash and cash equivalents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 was $1.9 million as compared to $0.7 million in the first nine months of fiscal 2023.</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financial condition as of March 30, 2024 and July 1, 2023:</w:t>
      </w:r>
    </w:p>
    <w:tbl>
      <w:tblPr>
        <w:tblW w:w="6823" w:type="dxa"/>
        <w:jc w:val="left"/>
        <w:tblInd w:w="0" w:type="dxa"/>
        <w:tblLayout w:type="fixed"/>
        <w:tblCellMar>
          <w:top w:w="28" w:type="dxa"/>
          <w:left w:w="28" w:type="dxa"/>
          <w:bottom w:w="28" w:type="dxa"/>
          <w:right w:w="28" w:type="dxa"/>
        </w:tblCellMar>
      </w:tblPr>
      <w:tblGrid>
        <w:gridCol w:w="902"/>
        <w:gridCol w:w="791"/>
        <w:gridCol w:w="796"/>
        <w:gridCol w:w="276"/>
        <w:gridCol w:w="1022"/>
        <w:gridCol w:w="142"/>
        <w:gridCol w:w="109"/>
        <w:gridCol w:w="109"/>
        <w:gridCol w:w="109"/>
        <w:gridCol w:w="231"/>
        <w:gridCol w:w="759"/>
        <w:gridCol w:w="119"/>
        <w:gridCol w:w="109"/>
        <w:gridCol w:w="109"/>
        <w:gridCol w:w="109"/>
        <w:gridCol w:w="211"/>
        <w:gridCol w:w="76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Cash and cash equivalents</w:t>
            </w:r>
            <w:r>
              <w:rPr>
                <w:rFonts w:ascii="Times New Roman;sans-serif" w:hAnsi="Times New Roman;sans-serif"/>
                <w:b/>
                <w:color w:val="000000"/>
                <w:sz w:val="13"/>
              </w:rPr>
              <w:t>(1)</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6,975.1</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Short-term investments</w:t>
            </w:r>
            <w:r>
              <w:rPr>
                <w:rFonts w:ascii="Times New Roman;sans-serif" w:hAnsi="Times New Roman;sans-serif"/>
                <w:b/>
                <w:color w:val="000000"/>
                <w:sz w:val="13"/>
              </w:rPr>
              <w:t>(1)</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442.9</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Current debt</w:t>
            </w:r>
            <w:r>
              <w:rPr>
                <w:rFonts w:ascii="Times New Roman;sans-serif" w:hAnsi="Times New Roman;sans-serif"/>
                <w:b/>
                <w:color w:val="000000"/>
                <w:sz w:val="13"/>
              </w:rPr>
              <w:t>(2)</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Long-term debt</w:t>
            </w:r>
            <w:r>
              <w:rPr>
                <w:rFonts w:ascii="Times New Roman;sans-serif" w:hAnsi="Times New Roman;sans-serif"/>
                <w:b/>
                <w:color w:val="000000"/>
                <w:sz w:val="13"/>
              </w:rPr>
              <w:t>(2)</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(7,673.7)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(280.7)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As of March 30, 2024, approximately 5.5% of our cash and short-term investments were held outside the United States.</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    </w:t>
      </w:r>
      <w:r>
        <w:rPr>
          <w:rFonts w:ascii="Times New Roman;sans-serif" w:hAnsi="Times New Roman;sans-serif"/>
          <w:b w:val="false"/>
          <w:color w:val="000000"/>
          <w:sz w:val="20"/>
        </w:rPr>
        <w:t>Refer to Note 11, "Debt" for discussion of the carrying values of our debt.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the cash flows generated from our operations, our cash and cash equivalents and short-term investments, availability under our credit facilities, and other available financing options.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availability, borrowings outstanding, and remaining availability under our Revolving Facility and Capri Acquisition Term Loan Facilities as of March 30, 2024:</w:t>
      </w:r>
    </w:p>
    <w:tbl>
      <w:tblPr>
        <w:tblW w:w="10205" w:type="dxa"/>
        <w:jc w:val="left"/>
        <w:tblInd w:w="0" w:type="dxa"/>
        <w:tblLayout w:type="fixed"/>
        <w:tblCellMar>
          <w:top w:w="28" w:type="dxa"/>
          <w:left w:w="28" w:type="dxa"/>
          <w:bottom w:w="28" w:type="dxa"/>
          <w:right w:w="28" w:type="dxa"/>
        </w:tblCellMar>
      </w:tblPr>
      <w:tblGrid>
        <w:gridCol w:w="1306"/>
        <w:gridCol w:w="1145"/>
        <w:gridCol w:w="1153"/>
        <w:gridCol w:w="311"/>
        <w:gridCol w:w="1155"/>
        <w:gridCol w:w="163"/>
        <w:gridCol w:w="109"/>
        <w:gridCol w:w="109"/>
        <w:gridCol w:w="109"/>
        <w:gridCol w:w="632"/>
        <w:gridCol w:w="1219"/>
        <w:gridCol w:w="328"/>
        <w:gridCol w:w="109"/>
        <w:gridCol w:w="109"/>
        <w:gridCol w:w="109"/>
        <w:gridCol w:w="392"/>
        <w:gridCol w:w="1455"/>
        <w:gridCol w:w="292"/>
      </w:tblGrid>
      <w:tr>
        <w:trPr/>
        <w:tc>
          <w:tcPr>
            <w:tcW w:w="130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Availability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Remaining Availability</w:t>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Revolving Facility</w:t>
            </w:r>
            <w:r>
              <w:rPr>
                <w:rFonts w:ascii="Times New Roman;sans-serif" w:hAnsi="Times New Roman;sans-serif"/>
                <w:b/>
                <w:color w:val="000000"/>
                <w:sz w:val="13"/>
              </w:rPr>
              <w:t>(1)</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2,000.0</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2,000.0</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Capri Acquisition Term Loan Facilities</w:t>
            </w:r>
            <w:r>
              <w:rPr>
                <w:rFonts w:ascii="Times New Roman;sans-serif" w:hAnsi="Times New Roman;sans-serif"/>
                <w:b/>
                <w:color w:val="000000"/>
                <w:sz w:val="13"/>
              </w:rPr>
              <w:t>(1)</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1,400.0</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1,400.0</w:t>
            </w: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3,400.0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3,400.0</w:t>
            </w:r>
            <w:r>
              <w:rPr>
                <w:color w:val="000000"/>
              </w:rPr>
              <w:t>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Refer to Note 11, "Debt" for further information on these instruments.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Revolving Facility and Term Loans are adequately diversified with no undue concentrations in any one financial institution. As of March 30, 2024, there were 18 financial institutions participating in the Revolving Facility, and 24 financial institutions participating in the Term Loans,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ability to draw on our credit facilities or access other sources of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2024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Reference should be made to our most recent Annual Report on Form 10-K and other filings with the SEC for additional information regarding liquidity and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Supply Chain Finance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2, "Basis of Presentation and Organization," for additional information.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8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March 30, 2024, capital expenditures and cloud computing implementation costs were $29.3 million and $88.4 million, respectively. The Company expects total fiscal 2024 capital expenditures and cloud computing cost to be approximately $140.0 million. Certain cloud computing implementation costs are recognized within Prepaid expenses and Other assets on the Condensed Consolidated Balance Sheets.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Stock Repurchase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2022, the Company announced the Board of Directors authorized the additional repurchase of up to $1.50 billion of its common stock (the "2022 Share Repurchase Program"). Pursuant to this program, purchases of the Company's common stock will be made subject to market conditions and at prevailing market prices, through open market purchases. Repurchased shares of common stock will become authorized but unissued shares. These shares may be issued in the future for general corporate and other purposes. In addition, the Company may terminate or limit the stock repurchase program at any time. As of March 30, 2024 the Company had $800.0 million of additional shares available to be repurchased as authorized under the 2022 Share Repurchase Program. In August 2023, the Company suspended its share repurchase activity in connection with the Capri Acquisition. Refer to Note 5, "Acquisitions," for further information. There were no shares repurchased during the nine months ended March 30, 2024.</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Capri Holdings Limited Acquisition</w:t>
      </w:r>
    </w:p>
    <w:p>
      <w:pPr>
        <w:pStyle w:val="TextBody"/>
        <w:bidi w:val="0"/>
        <w:spacing w:lineRule="auto" w:line="288" w:before="120" w:after="12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2023, the Company entered into a Merger Agreement. The Company intends to finance the Capri Acquisition, inclusive of related fees and expenses, with the net proceeds of new senior unsecured notes, new term loans, cash on hand, cash on hand at Capri and anticipated future cash flow. The Company has received regulatory approval from all countries except for the United States. On April 22, 2024, the FTC filed a complaint in the United States District Court for the Southern District of New York seeking to enjoin the consummation of the Capri Acquisition. The FTC’s complaint alleges that the Capri Acquisition, if consummated, would violate Section 7 of the Clayton Act and that the Merger Agreement and the Capri Acquisition constitute unfair methods of competition in violation of Section 5 of the Federal Trade Commission Act and should be enjoined. We believe the FTC’s claims are without merit, and we intend to defend the lawsuit vigorously. Refer to Note 5, "Acquisitions," and Note 11, "Debt,"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significant accounting policies are described in Note 3 to the audited consolidated financial statements in our Annual Report on Form 10-K for fiscal 2023. Our discussion of results of operations and financial condition relies on our condensed consolidated financial statements that are prepared based on certain critical accounting policies that require management to make judgments and estimates which are subject to varying degrees of uncertainty. While we believe that these accounting policies are based on sound measurement criteria, actual future events can and often do result in outcomes that can be materially different from these estimates or forecasts.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complete discussion of our critical accounting policies and estimates, see the "Critical Accounting Policies and Estimates" section of the Management's Discussion and Analysis of Financial Condition and Results of Operations in our Annual Report on Form 10-K for fiscal 2023. As of March 30, 2024, there have been no material changes to any of the critical accounting policies.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its annual impairment assessment of goodwill as well as brand intangibles at the beginning of the fourth quarter of each fiscal year. In all fiscal years, the fair values of our Coach brand reporting units significantly exceeded their respective carrying values. The fair values of the Kate Spade brand reporting unit and indefinite-lived brand as of the fiscal 2023 testing date exceeded their carrying values by approximately 20% and 40%, respectively. 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macroeconomic factors, the reception of new collections in all channels, and other initiatives aimed at increasing profitability of the business. Given the relatively small excess of fair value over carrying value as noted above, if profitability trends decline during fiscal 2024 from those that are expected, it is possible that an interim test, or our annual impairment test, could result in an impairment of those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Company's market risk or the way the Company manages these exposures as set forth in Part II, Item 7A. "Quantitative and Qualitative Disclosures About Market Risk" in the Company’s Annual Report on Form 10-K for the fiscal year ended July 1, 2023. Refer to Note 8, "Derivative Investments and Hedging Activities," Note 11, "Debt," and Note 13, "Investments," included in Part I of this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under the supervision and with the participation of management, including our principal executive and principal financial officers, the effectiveness of our disclosure controls and procedures, as is defined in Rules 13a-15(e) and 15d-15(e) of the Securities Exchange Act of 1934, as amended, as of the end of the fiscal quarter covered by this quarterly report. Based on that evaluation, our principal executive and principal financial officers have concluded that the Company's disclosure controls and procedures were effective at the reasonable assurance level as of the fiscal quarter-end covered by this quarterly report on Form 10-Q. </w:t>
      </w:r>
    </w:p>
    <w:p>
      <w:pPr>
        <w:pStyle w:val="TextBody"/>
        <w:bidi w:val="0"/>
        <w:spacing w:lineRule="auto" w:line="288" w:before="120" w:after="283"/>
        <w:ind w:left="0" w:right="0" w:firstLine="9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during the third quarter of 2024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routine legal proceedings as both plaintiff and defendant incident to the ordinary course of its business, such as to protect Tapestry, Inc.'s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condensed consolidated financial statements. There have been no material developments with respect to any previously reported proceedings.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However, as previously disclosed, on August 10, 2023, the Company entered into a Merger Agreement by and among the Company, Merger Sub and Capri, pursuant to which, among other things, Merger Sub will merge with and into Capri (the “Merger”) with Capri surviving the Merger and continuing as a wholly owned subsidiary of the Company. In connection with the Company’s proposed acquisition of Capri, we have been named as a defendant in a legal proceeding by the FTC. On April 22, 2024, the FTC filed a lawsuit in the United States District Court for the Southern District of New York against us and Capri seeking to block the proposed acquisition of Capri, claiming that the proposed acquisition would violate Section 7 of the Clayton Act and that the Merger Agreement and the Merger constitute unfair methods of competition in violation of Section 5 of the Federal Trade Commission Act and should be enjoined. We believe the FTC’s claims are without merit, and we intend to defend the lawsuit vigorously.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Part I, Item 1A, "Risk Factors" in our Annual Report on Form 10-K for the fiscal year ended July 1, 2023 for a description of certain significant risks and uncertainties to which our business, financial condition and results of operations are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2022, the Company announced that its Board of Directors authorized a common stock repurchase program to repurchase up to $1.50 billion of its outstanding common stock (the "2022 Share Repurchase Program"). Purchases of the Company's common stock were executed through open market purchases, including through purchase agreements under Rule 10b5-1. The authorized value of shares available to be repurchased under this program excludes the cost of commissions and excise taxes. As of March 30, 2024 the Company had $800 million of additional shares available to be repurchased as authorized under the 2022 Share Repurchase Program. In August 2023, the Company suspended its share repurchase activity in connection with the Merger Agreement with Capri. Refer to Note 5, "Acquisitions," for further information. There were no shares repurchased during the nine months ended March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adoption, modification or termination of any Rule 10b5-1 plan or other trading arrangements by our directors and officers during the quarter ended March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434"/>
        <w:gridCol w:w="379"/>
        <w:gridCol w:w="380"/>
        <w:gridCol w:w="2965"/>
        <w:gridCol w:w="2941"/>
        <w:gridCol w:w="2949"/>
        <w:gridCol w:w="157"/>
      </w:tblGrid>
      <w:tr>
        <w:trPr/>
        <w:tc>
          <w:tcPr>
            <w:tcW w:w="4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32024.htm">
              <w:r>
                <w:rPr>
                  <w:rStyle w:val="InternetLink"/>
                  <w:rFonts w:ascii="Times New Roman;sans-serif" w:hAnsi="Times New Roman;sans-serif"/>
                  <w:b w:val="false"/>
                  <w:color w:val="0000FF"/>
                  <w:sz w:val="20"/>
                  <w:u w:val="single"/>
                </w:rPr>
                <w:t>Rule 13(a)-14(a)/15(d)-14(a) Certification</w:t>
              </w:r>
            </w:hyperlink>
            <w:r>
              <w:rPr>
                <w:color w:val="000000"/>
              </w:rPr>
              <w:t xml:space="preserve"> </w:t>
            </w:r>
            <w:r>
              <w:rPr>
                <w:rFonts w:ascii="Times New Roman;sans-serif" w:hAnsi="Times New Roman;sans-serif"/>
                <w:b w:val="false"/>
                <w:color w:val="000000"/>
                <w:sz w:val="20"/>
              </w:rPr>
              <w:t>of the Company's Chief Executive Officer</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32024.htm">
              <w:r>
                <w:rPr>
                  <w:rStyle w:val="InternetLink"/>
                  <w:rFonts w:ascii="Times New Roman;sans-serif" w:hAnsi="Times New Roman;sans-serif"/>
                  <w:b w:val="false"/>
                  <w:color w:val="0000FF"/>
                  <w:sz w:val="20"/>
                  <w:u w:val="single"/>
                </w:rPr>
                <w:t>Rule 13(a)-14(a)/15(d)-14(a) Certification</w:t>
              </w:r>
            </w:hyperlink>
            <w:r>
              <w:rPr>
                <w:color w:val="000000"/>
              </w:rPr>
              <w:t xml:space="preserve"> </w:t>
            </w:r>
            <w:r>
              <w:rPr>
                <w:rFonts w:ascii="Times New Roman;sans-serif" w:hAnsi="Times New Roman;sans-serif"/>
                <w:b w:val="false"/>
                <w:color w:val="000000"/>
                <w:sz w:val="20"/>
              </w:rPr>
              <w:t>of the Company's Chief Financial Officer</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32024.htm">
              <w:r>
                <w:rPr>
                  <w:rStyle w:val="InternetLink"/>
                  <w:rFonts w:ascii="Times New Roman;sans-serif" w:hAnsi="Times New Roman;sans-serif"/>
                  <w:b w:val="false"/>
                  <w:color w:val="0000FF"/>
                  <w:sz w:val="20"/>
                  <w:u w:val="single"/>
                </w:rPr>
                <w:t>Section 1350</w:t>
              </w:r>
            </w:hyperlink>
            <w:r>
              <w:rPr>
                <w:color w:val="000000"/>
              </w:rPr>
              <w:t xml:space="preserve"> </w:t>
            </w:r>
            <w:r>
              <w:rPr>
                <w:rFonts w:ascii="Times New Roman;sans-serif" w:hAnsi="Times New Roman;sans-serif"/>
                <w:b w:val="false"/>
                <w:color w:val="000000"/>
                <w:sz w:val="20"/>
              </w:rPr>
              <w:t>Certification of the Company's Chief Executive Officer</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q32024.htm">
              <w:r>
                <w:rPr>
                  <w:rStyle w:val="InternetLink"/>
                  <w:rFonts w:ascii="Times New Roman;sans-serif" w:hAnsi="Times New Roman;sans-serif"/>
                  <w:b w:val="false"/>
                  <w:color w:val="0000FF"/>
                  <w:sz w:val="20"/>
                  <w:u w:val="single"/>
                </w:rPr>
                <w:t>Section 1350</w:t>
              </w:r>
            </w:hyperlink>
            <w:r>
              <w:rPr>
                <w:color w:val="000000"/>
              </w:rPr>
              <w:t xml:space="preserve"> </w:t>
            </w:r>
            <w:r>
              <w:rPr>
                <w:rFonts w:ascii="Times New Roman;sans-serif" w:hAnsi="Times New Roman;sans-serif"/>
                <w:b w:val="false"/>
                <w:color w:val="000000"/>
                <w:sz w:val="20"/>
              </w:rPr>
              <w:t>Certification of the Company's Chief Financial Officer</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Note: the instance document does not appear in the Interactive Data File because its XBRL tags are embedded within the Inline XBRL document.</w:t>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6"/>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157" w:type="dxa"/>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157" w:type="dxa"/>
            <w:tcBorders/>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20" w:after="283"/>
        <w:jc w:val="both"/>
        <w:rPr/>
      </w:pPr>
      <w:r>
        <w:rPr/>
      </w:r>
    </w:p>
    <w:tbl>
      <w:tblPr>
        <w:tblW w:w="3692" w:type="dxa"/>
        <w:jc w:val="left"/>
        <w:tblInd w:w="0" w:type="dxa"/>
        <w:tblLayout w:type="fixed"/>
        <w:tblCellMar>
          <w:top w:w="28" w:type="dxa"/>
          <w:left w:w="28" w:type="dxa"/>
          <w:bottom w:w="28" w:type="dxa"/>
          <w:right w:w="28" w:type="dxa"/>
        </w:tblCellMar>
      </w:tblPr>
      <w:tblGrid>
        <w:gridCol w:w="124"/>
        <w:gridCol w:w="109"/>
        <w:gridCol w:w="109"/>
        <w:gridCol w:w="247"/>
        <w:gridCol w:w="247"/>
        <w:gridCol w:w="247"/>
        <w:gridCol w:w="760"/>
        <w:gridCol w:w="760"/>
        <w:gridCol w:w="1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TAPESTRY,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Manesh B. Dadlani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Manesh B. Dadlani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Controller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Joanne C. Crevoiserat,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Tapestry,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bl>
      <w:tblPr>
        <w:tblW w:w="3494" w:type="dxa"/>
        <w:jc w:val="left"/>
        <w:tblInd w:w="0" w:type="dxa"/>
        <w:tblLayout w:type="fixed"/>
        <w:tblCellMar>
          <w:top w:w="28" w:type="dxa"/>
          <w:left w:w="28" w:type="dxa"/>
          <w:bottom w:w="28" w:type="dxa"/>
          <w:right w:w="28" w:type="dxa"/>
        </w:tblCellMar>
      </w:tblPr>
      <w:tblGrid>
        <w:gridCol w:w="151"/>
        <w:gridCol w:w="134"/>
        <w:gridCol w:w="135"/>
        <w:gridCol w:w="335"/>
        <w:gridCol w:w="335"/>
        <w:gridCol w:w="335"/>
        <w:gridCol w:w="602"/>
        <w:gridCol w:w="602"/>
        <w:gridCol w:w="86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Joanne C. Crevoiserat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Joanne C. Crevoiserat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45"/>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ind w:left="0" w:right="0" w:firstLine="45"/>
        <w:jc w:val="both"/>
        <w:rPr/>
      </w:pPr>
      <w:r>
        <w:rPr>
          <w:rFonts w:ascii="Times New Roman;sans-serif" w:hAnsi="Times New Roman;sans-serif"/>
          <w:b w:val="false"/>
          <w:color w:val="000000"/>
          <w:sz w:val="20"/>
        </w:rPr>
        <w:t>I, Scott A. Roe, certify that,</w:t>
      </w:r>
      <w:r>
        <w:rPr>
          <w:color w:val="000000"/>
        </w:rPr>
        <w:t>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Tapestry,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bl>
      <w:tblPr>
        <w:tblW w:w="3104" w:type="dxa"/>
        <w:jc w:val="left"/>
        <w:tblInd w:w="0" w:type="dxa"/>
        <w:tblLayout w:type="fixed"/>
        <w:tblCellMar>
          <w:top w:w="28" w:type="dxa"/>
          <w:left w:w="28" w:type="dxa"/>
          <w:bottom w:w="28" w:type="dxa"/>
          <w:right w:w="28" w:type="dxa"/>
        </w:tblCellMar>
      </w:tblPr>
      <w:tblGrid>
        <w:gridCol w:w="151"/>
        <w:gridCol w:w="134"/>
        <w:gridCol w:w="135"/>
        <w:gridCol w:w="225"/>
        <w:gridCol w:w="225"/>
        <w:gridCol w:w="225"/>
        <w:gridCol w:w="589"/>
        <w:gridCol w:w="589"/>
        <w:gridCol w:w="83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Roe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Roe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
        <w:jc w:val="right"/>
        <w:rPr>
          <w:rFonts w:ascii="Times New Roman;sans-serif" w:hAnsi="Times New Roman;sans-serif"/>
          <w:b/>
          <w:color w:val="000000"/>
          <w:sz w:val="24"/>
        </w:rPr>
      </w:pPr>
      <w:r>
        <w:rPr>
          <w:rFonts w:ascii="Times New Roman;sans-serif" w:hAnsi="Times New Roman;sans-serif"/>
          <w:b/>
          <w:color w:val="000000"/>
          <w:sz w:val="24"/>
        </w:rPr>
        <w:t>EXHIBIT 32.1</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Tapestry, Inc. (the “Company”) hereby certifies, to such officer’s knowledge, that: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       the accompanying Quarterly Report on Form 10-Q of the Company for the fiscal quarter ended March 30, 2024 (the “Report”) fully complies with the requirements of Section 13(a) or Section 15(d), as applicable, of the Securities Exchange Act of 1934, as amended; and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p>
      <w:pPr>
        <w:pStyle w:val="TextBody"/>
        <w:bidi w:val="0"/>
        <w:spacing w:lineRule="auto" w:line="288" w:before="0" w:after="0"/>
        <w:jc w:val="both"/>
        <w:rPr>
          <w:color w:val="000000"/>
        </w:rPr>
      </w:pPr>
      <w:r>
        <w:rPr>
          <w:color w:val="000000"/>
        </w:rPr>
        <w:t> </w:t>
      </w:r>
    </w:p>
    <w:tbl>
      <w:tblPr>
        <w:tblW w:w="3494" w:type="dxa"/>
        <w:jc w:val="left"/>
        <w:tblInd w:w="0" w:type="dxa"/>
        <w:tblLayout w:type="fixed"/>
        <w:tblCellMar>
          <w:top w:w="28" w:type="dxa"/>
          <w:left w:w="28" w:type="dxa"/>
          <w:bottom w:w="28" w:type="dxa"/>
          <w:right w:w="28" w:type="dxa"/>
        </w:tblCellMar>
      </w:tblPr>
      <w:tblGrid>
        <w:gridCol w:w="151"/>
        <w:gridCol w:w="134"/>
        <w:gridCol w:w="135"/>
        <w:gridCol w:w="335"/>
        <w:gridCol w:w="335"/>
        <w:gridCol w:w="335"/>
        <w:gridCol w:w="602"/>
        <w:gridCol w:w="602"/>
        <w:gridCol w:w="86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Joanne C. Crevoiserat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Joanne C. Crevoiserat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Tapestry, Inc. and will be retained by Tapestry,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
        <w:jc w:val="right"/>
        <w:rPr>
          <w:rFonts w:ascii="Times New Roman;sans-serif" w:hAnsi="Times New Roman;sans-serif"/>
          <w:b/>
          <w:color w:val="000000"/>
          <w:sz w:val="24"/>
        </w:rPr>
      </w:pPr>
      <w:r>
        <w:rPr>
          <w:rFonts w:ascii="Times New Roman;sans-serif" w:hAnsi="Times New Roman;sans-serif"/>
          <w:b/>
          <w:color w:val="000000"/>
          <w:sz w:val="24"/>
        </w:rPr>
        <w:t>EXHIBIT 32.2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Tapestry, Inc. (the “Company”) hereby certifies, to such officer’s knowledge, that:</w:t>
      </w:r>
    </w:p>
    <w:p>
      <w:pPr>
        <w:pStyle w:val="TextBody"/>
        <w:bidi w:val="0"/>
        <w:spacing w:lineRule="auto" w:line="288" w:before="180" w:after="283"/>
        <w:ind w:left="0" w:right="0" w:firstLine="360"/>
        <w:jc w:val="both"/>
        <w:rPr>
          <w:color w:val="000000"/>
        </w:rPr>
      </w:pPr>
      <w:r>
        <w:rPr>
          <w:color w:val="000000"/>
        </w:rPr>
        <w:t> </w:t>
      </w:r>
      <w:r>
        <w:rPr>
          <w:rFonts w:ascii="Times New Roman;sans-serif" w:hAnsi="Times New Roman;sans-serif"/>
          <w:b w:val="false"/>
          <w:color w:val="000000"/>
          <w:sz w:val="20"/>
        </w:rPr>
        <w:t>(i)       the accompanying Quarterly Report on Form 10-Q of the Company for the fiscal quarter ended March 30, 2024 (the “Report”) fully complies with the requirements of Section 13(a) or Section 15(d), as applicable, of the Securities Exchange Act of 1934, as amended; and</w:t>
      </w:r>
    </w:p>
    <w:p>
      <w:pPr>
        <w:pStyle w:val="TextBody"/>
        <w:bidi w:val="0"/>
        <w:spacing w:lineRule="auto" w:line="288" w:before="180" w:after="283"/>
        <w:ind w:left="0" w:right="0" w:firstLine="360"/>
        <w:jc w:val="both"/>
        <w:rPr>
          <w:color w:val="000000"/>
        </w:rPr>
      </w:pPr>
      <w:r>
        <w:rPr>
          <w:color w:val="000000"/>
        </w:rPr>
        <w:t> </w:t>
      </w: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p>
      <w:pPr>
        <w:pStyle w:val="TextBody"/>
        <w:bidi w:val="0"/>
        <w:spacing w:lineRule="auto" w:line="288" w:before="0" w:after="0"/>
        <w:jc w:val="left"/>
        <w:rPr>
          <w:color w:val="000000"/>
        </w:rPr>
      </w:pPr>
      <w:r>
        <w:rPr>
          <w:color w:val="000000"/>
        </w:rPr>
        <w:t> </w:t>
      </w:r>
    </w:p>
    <w:tbl>
      <w:tblPr>
        <w:tblW w:w="3104" w:type="dxa"/>
        <w:jc w:val="left"/>
        <w:tblInd w:w="0" w:type="dxa"/>
        <w:tblLayout w:type="fixed"/>
        <w:tblCellMar>
          <w:top w:w="28" w:type="dxa"/>
          <w:left w:w="28" w:type="dxa"/>
          <w:bottom w:w="28" w:type="dxa"/>
          <w:right w:w="28" w:type="dxa"/>
        </w:tblCellMar>
      </w:tblPr>
      <w:tblGrid>
        <w:gridCol w:w="151"/>
        <w:gridCol w:w="134"/>
        <w:gridCol w:w="135"/>
        <w:gridCol w:w="225"/>
        <w:gridCol w:w="225"/>
        <w:gridCol w:w="225"/>
        <w:gridCol w:w="589"/>
        <w:gridCol w:w="589"/>
        <w:gridCol w:w="83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Roe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Roe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Tapestry, Inc. and will be retained by Tapestry,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24268</Words>
  <Characters>133539</Characters>
  <CharactersWithSpaces>156303</CharactersWithSpaces>
  <Paragraphs>3401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