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19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193040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rPr>
              <w:t>Pursuant to Section 13 or 15(d) of the</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40" w:type="dxa"/>
            <w:vAlign w:val="bottom"/>
            <w:gridSpan w:val="4"/>
          </w:tcPr>
          <w:p>
            <w:pPr>
              <w:ind w:left="196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November 5, 2026</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3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43"/>
                <w:szCs w:val="43"/>
                <w:color w:val="auto"/>
              </w:rPr>
              <w:t>Tapestry,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Maryland</w:t>
            </w:r>
          </w:p>
        </w:tc>
        <w:tc>
          <w:tcPr>
            <w:tcW w:w="41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1-16153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52-2242751</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80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2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3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bl>
    <w:p>
      <w:pPr>
        <w:spacing w:after="0" w:line="206"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10 Hudson Yards, New York, NY 10001</w:t>
      </w:r>
    </w:p>
    <w:p>
      <w:pPr>
        <w:spacing w:after="0" w:line="5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-127635</wp:posOffset>
            </wp:positionV>
            <wp:extent cx="2134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(Zip Code)</w:t>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(212) 946-8400</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31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19"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0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3"/>
        </w:trPr>
        <w:tc>
          <w:tcPr>
            <w:tcW w:w="3740" w:type="dxa"/>
            <w:vAlign w:val="bottom"/>
            <w:tcBorders>
              <w:top w:val="single" w:sz="8" w:color="auto"/>
              <w:left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Trading Symbol(s)</w:t>
            </w:r>
          </w:p>
        </w:tc>
        <w:tc>
          <w:tcPr>
            <w:tcW w:w="3700" w:type="dxa"/>
            <w:vAlign w:val="bottom"/>
            <w:tcBorders>
              <w:top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TPR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1" w:lineRule="exact"/>
        <w:rPr>
          <w:sz w:val="24"/>
          <w:szCs w:val="24"/>
          <w:color w:val="auto"/>
        </w:rPr>
      </w:pPr>
    </w:p>
    <w:p>
      <w:pPr>
        <w:jc w:val="right"/>
        <w:ind w:right="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2026, Tapestry, Inc. (“Tapestry” or the “Company”) issued a press release (the “Press Release”) in which the Company announced its financial results for its first fiscal quarter ended September 26, 2026. The Company also posted a slide presentation entitled “Investor Presentation” dated November 5, 2026 on the “Presentations &amp; Financial Reports” investor section of its website (</w:t>
      </w:r>
      <w:r>
        <w:rPr>
          <w:rFonts w:ascii="Times New Roman" w:cs="Times New Roman" w:eastAsia="Times New Roman" w:hAnsi="Times New Roman"/>
          <w:sz w:val="18"/>
          <w:szCs w:val="18"/>
          <w:u w:val="single" w:color="auto"/>
          <w:color w:val="auto"/>
        </w:rPr>
        <w:t>www.tapestry.com</w:t>
      </w:r>
      <w:r>
        <w:rPr>
          <w:rFonts w:ascii="Times New Roman" w:cs="Times New Roman" w:eastAsia="Times New Roman" w:hAnsi="Times New Roman"/>
          <w:sz w:val="18"/>
          <w:szCs w:val="18"/>
          <w:color w:val="auto"/>
        </w:rPr>
        <w:t>). A copy of the Press Release is furnished herewith as Exhibit 99.1. Information on the Company’s website is not, and will not be deemed to be, a part of this Current Report on Form 8-K or incorporated into any other filings the Company may make with the Securities and Exchange Commission.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being furnished to the Securities and Exchange Commission and shall not be deemed “filed” for purposes of Section 18 of the Securities Exchange Act of 1934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being furnished herewith:</w:t>
      </w:r>
    </w:p>
    <w:p>
      <w:pPr>
        <w:spacing w:after="0" w:line="25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Text of Press Release, dated November 5, 2026</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TAPESTRY,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E. Howard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 w:name="page4"/>
    <w:bookmarkEnd w:id="3"/>
    <w:p>
      <w:pPr>
        <w:ind w:left="4940"/>
        <w:spacing w:after="0"/>
        <w:rPr>
          <w:sz w:val="20"/>
          <w:szCs w:val="20"/>
          <w:color w:val="auto"/>
        </w:rPr>
      </w:pPr>
      <w:r>
        <w:rPr>
          <w:rFonts w:ascii="Times New Roman" w:cs="Times New Roman" w:eastAsia="Times New Roman" w:hAnsi="Times New Roman"/>
          <w:sz w:val="18"/>
          <w:szCs w:val="18"/>
          <w:color w:val="auto"/>
        </w:rPr>
        <w:t>EXHIBIT INDEX</w:t>
      </w:r>
    </w:p>
    <w:p>
      <w:pPr>
        <w:spacing w:after="0" w:line="2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Text of Press Release, dated November 5, 2026</w:t>
      </w:r>
    </w:p>
    <w:p>
      <w:pPr>
        <w:spacing w:after="0" w:line="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40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CONTACTS: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Tapestry,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Analysts and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Colone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212/946-7252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ccolone@tapestry.com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Leemann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212/631-2797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jleemann@tapestry.com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TAPESTRY, INC. REPORTS FISCAL 2027 FIRST QUARTER RESULTS AND RAISES FULL YEAR OUTLOOK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Exceeded First Quarter Revenue, Gross Margin, Operating Margin, and EPS Guidance</w:t>
      </w:r>
    </w:p>
    <w:p>
      <w:pPr>
        <w:spacing w:after="0" w:line="225" w:lineRule="exact"/>
        <w:rPr>
          <w:sz w:val="20"/>
          <w:szCs w:val="20"/>
          <w:color w:val="auto"/>
        </w:rPr>
      </w:pPr>
    </w:p>
    <w:p>
      <w:pPr>
        <w:ind w:left="980" w:hanging="648"/>
        <w:spacing w:after="0" w:line="237"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Delivered Revenue of $1.9 Billion, an Increase of 11% on a Reported Basis and 12% on a Pro Forma Basis Versus Prior Year, Led by 16% Growth at Coach Brand</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Expanded Gross Margin by 230 Basis Points on a GAAP Basis and 220 Basis Points on a Non-GAAP Basis</w:t>
      </w:r>
    </w:p>
    <w:p>
      <w:pPr>
        <w:spacing w:after="0" w:line="220" w:lineRule="exact"/>
        <w:rPr>
          <w:rFonts w:ascii="Times New Roman" w:cs="Times New Roman" w:eastAsia="Times New Roman" w:hAnsi="Times New Roman"/>
          <w:sz w:val="22"/>
          <w:szCs w:val="22"/>
          <w:color w:val="auto"/>
        </w:rPr>
      </w:pPr>
    </w:p>
    <w:p>
      <w:pPr>
        <w:ind w:left="980" w:hanging="648"/>
        <w:spacing w:after="0" w:line="237"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Achieved GAAP Diluted EPS of $1.76, up 38% Versus Prior Year, and Non-GAAP Diluted EPS of $1.82, an Increase of 32% Versus Prior Year</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Returned Approximately $700 Million to Shareholders Through Dividends and Share Repurchases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Increases Fiscal Year 2027 Capital Return Outlook to $2.0 Billion Driven by Incremental Share Repurchases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Raises Fiscal Year 2027 Revenue, Operating Margin, and Earnings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 to Download Tapestry’s Q1 Earnings Presentation, Including Brand Highlights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New York</w:t>
      </w:r>
      <w:r>
        <w:rPr>
          <w:rFonts w:ascii="Times New Roman" w:cs="Times New Roman" w:eastAsia="Times New Roman" w:hAnsi="Times New Roman"/>
          <w:sz w:val="18"/>
          <w:szCs w:val="18"/>
          <w:color w:val="auto"/>
        </w:rPr>
        <w:t>, November 5, 2026 – Tapestry, Inc. (NYSE: TPR), a house of iconic accessories and lifestyle brands, consisting of Coach and Kate Spade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today reported results for the fiscal first quarter ended September 26,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10 HUDSON YARDS, NEW YORK, NY 10001 TELEPHONE 212 594 1850 FAX 212 594 1682 WWW.TAPESTRY.COM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Joanne Crevoiserat, Chief Executive Officer of Tapestry, Inc., commented: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first quarter marked a powerful start to the year, with revenue, margin, and earnings growth ahead of expectations and strength around the world. Our Amplify strategy continues to bring new consumers to our brands through our distinctive combination of creativity, craftsmanship, and value. Building on this outperformance, we are raising our full year outlook, reflecting our confidence in the durability of our growth.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Behind these results are advantages that compound over time, including our deep consumer understanding, data-driven approach, and global scale. Together, they reinforce our conviction that our greatest opportunities are ahead of us as we continue to drive long-term value for our customers, our teams, and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 Fiscal 2027 First Quarter Financial Highlights (Unaudited) – in USD millions except per share data</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Quarter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60" w:type="dxa"/>
            <w:vAlign w:val="bottom"/>
            <w:tcBorders>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Constant Currency %</w:t>
            </w:r>
          </w:p>
        </w:tc>
      </w:tr>
      <w:tr>
        <w:trPr>
          <w:trHeight w:val="238"/>
        </w:trPr>
        <w:tc>
          <w:tcPr>
            <w:tcW w:w="4560" w:type="dxa"/>
            <w:vAlign w:val="bottom"/>
            <w:tcBorders>
              <w:right w:val="single" w:sz="8" w:color="auto"/>
            </w:tcBorders>
          </w:tcPr>
          <w:p>
            <w:pPr>
              <w:spacing w:after="0"/>
              <w:rPr>
                <w:sz w:val="20"/>
                <w:szCs w:val="20"/>
                <w:color w:val="auto"/>
              </w:rPr>
            </w:pPr>
          </w:p>
        </w:tc>
        <w:tc>
          <w:tcPr>
            <w:tcW w:w="1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74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2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92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
        </w:trPr>
        <w:tc>
          <w:tcPr>
            <w:tcW w:w="4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7"/>
        </w:trPr>
        <w:tc>
          <w:tcPr>
            <w:tcW w:w="45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5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1,894</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1,705</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4560" w:type="dxa"/>
            <w:vAlign w:val="bottom"/>
            <w:tcBorders>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Pro Forma Net sales</w:t>
            </w:r>
            <w:r>
              <w:rPr>
                <w:rFonts w:ascii="Times New Roman" w:cs="Times New Roman" w:eastAsia="Times New Roman" w:hAnsi="Times New Roman"/>
                <w:sz w:val="29"/>
                <w:szCs w:val="29"/>
                <w:color w:val="auto"/>
                <w:vertAlign w:val="superscript"/>
              </w:rPr>
              <w:t>1</w:t>
            </w:r>
          </w:p>
        </w:tc>
        <w:tc>
          <w:tcPr>
            <w:tcW w:w="660" w:type="dxa"/>
            <w:vAlign w:val="bottom"/>
          </w:tcPr>
          <w:p>
            <w:pPr>
              <w:spacing w:after="0"/>
              <w:rPr>
                <w:sz w:val="22"/>
                <w:szCs w:val="22"/>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1,894</w:t>
            </w:r>
          </w:p>
        </w:tc>
        <w:tc>
          <w:tcPr>
            <w:tcW w:w="660" w:type="dxa"/>
            <w:vAlign w:val="bottom"/>
          </w:tcPr>
          <w:p>
            <w:pPr>
              <w:spacing w:after="0"/>
              <w:rPr>
                <w:sz w:val="22"/>
                <w:szCs w:val="22"/>
                <w:color w:val="auto"/>
              </w:rPr>
            </w:pPr>
          </w:p>
        </w:tc>
        <w:tc>
          <w:tcPr>
            <w:tcW w:w="10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1,690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6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1,488</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1,301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66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 bps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560" w:type="dxa"/>
            <w:vAlign w:val="bottom"/>
            <w:tcBorders>
              <w:right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Non-GAAP Gross profit</w:t>
            </w:r>
            <w:r>
              <w:rPr>
                <w:rFonts w:ascii="Times New Roman" w:cs="Times New Roman" w:eastAsia="Times New Roman" w:hAnsi="Times New Roman"/>
                <w:sz w:val="29"/>
                <w:szCs w:val="29"/>
                <w:color w:val="auto"/>
                <w:vertAlign w:val="superscript"/>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1,293</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7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6"/>
        </w:trPr>
        <w:tc>
          <w:tcPr>
            <w:tcW w:w="4560" w:type="dxa"/>
            <w:vAlign w:val="bottom"/>
            <w:tcBorders>
              <w:right w:val="single" w:sz="8" w:color="auto"/>
            </w:tcBorders>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i w:val="1"/>
                <w:iCs w:val="1"/>
                <w:color w:val="auto"/>
              </w:rPr>
              <w:t>Non-GAAP Gross margin</w:t>
            </w:r>
            <w:r>
              <w:rPr>
                <w:rFonts w:ascii="Times New Roman" w:cs="Times New Roman" w:eastAsia="Times New Roman" w:hAnsi="Times New Roman"/>
                <w:sz w:val="29"/>
                <w:szCs w:val="29"/>
                <w:i w:val="1"/>
                <w:iCs w:val="1"/>
                <w:color w:val="auto"/>
                <w:vertAlign w:val="superscript"/>
              </w:rPr>
              <w:t>2</w:t>
            </w:r>
          </w:p>
        </w:tc>
        <w:tc>
          <w:tcPr>
            <w:tcW w:w="6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60" w:type="dxa"/>
            <w:vAlign w:val="bottom"/>
            <w:shd w:val="clear" w:color="auto" w:fill="CCEEFF"/>
          </w:tcPr>
          <w:p>
            <w:pPr>
              <w:spacing w:after="0"/>
              <w:rPr>
                <w:sz w:val="22"/>
                <w:szCs w:val="22"/>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 bps</w:t>
            </w:r>
          </w:p>
        </w:tc>
        <w:tc>
          <w:tcPr>
            <w:tcW w:w="1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37"/>
        </w:trPr>
        <w:tc>
          <w:tcPr>
            <w:tcW w:w="4560" w:type="dxa"/>
            <w:vAlign w:val="bottom"/>
            <w:tcBorders>
              <w:top w:val="single" w:sz="8" w:color="auto"/>
              <w:right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5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424</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60" w:type="dxa"/>
            <w:vAlign w:val="bottom"/>
          </w:tcPr>
          <w:p>
            <w:pPr>
              <w:spacing w:after="0"/>
              <w:rPr>
                <w:sz w:val="18"/>
                <w:szCs w:val="18"/>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 bps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560" w:type="dxa"/>
            <w:vAlign w:val="bottom"/>
            <w:tcBorders>
              <w:right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439</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354</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4560" w:type="dxa"/>
            <w:vAlign w:val="bottom"/>
            <w:tcBorders>
              <w:right w:val="single" w:sz="8" w:color="auto"/>
            </w:tcBorders>
          </w:tcPr>
          <w:p>
            <w:pPr>
              <w:ind w:left="140"/>
              <w:spacing w:after="0" w:line="256" w:lineRule="exact"/>
              <w:rPr>
                <w:sz w:val="20"/>
                <w:szCs w:val="20"/>
                <w:color w:val="auto"/>
              </w:rPr>
            </w:pPr>
            <w:r>
              <w:rPr>
                <w:rFonts w:ascii="Times New Roman" w:cs="Times New Roman" w:eastAsia="Times New Roman" w:hAnsi="Times New Roman"/>
                <w:sz w:val="18"/>
                <w:szCs w:val="18"/>
                <w:i w:val="1"/>
                <w:iCs w:val="1"/>
                <w:color w:val="auto"/>
              </w:rPr>
              <w:t>Non-GAAP Operating margin</w:t>
            </w:r>
            <w:r>
              <w:rPr>
                <w:rFonts w:ascii="Times New Roman" w:cs="Times New Roman" w:eastAsia="Times New Roman" w:hAnsi="Times New Roman"/>
                <w:sz w:val="29"/>
                <w:szCs w:val="29"/>
                <w:i w:val="1"/>
                <w:iCs w:val="1"/>
                <w:color w:val="auto"/>
                <w:vertAlign w:val="superscript"/>
              </w:rPr>
              <w:t>2</w:t>
            </w:r>
          </w:p>
        </w:tc>
        <w:tc>
          <w:tcPr>
            <w:tcW w:w="6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tcPr>
          <w:p>
            <w:pPr>
              <w:spacing w:after="0"/>
              <w:rPr>
                <w:sz w:val="22"/>
                <w:szCs w:val="22"/>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 bps</w:t>
            </w:r>
          </w:p>
        </w:tc>
        <w:tc>
          <w:tcPr>
            <w:tcW w:w="17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456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0"/>
        </w:trPr>
        <w:tc>
          <w:tcPr>
            <w:tcW w:w="4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1.76</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0"/>
        </w:trPr>
        <w:tc>
          <w:tcPr>
            <w:tcW w:w="4560" w:type="dxa"/>
            <w:vAlign w:val="bottom"/>
            <w:tcBorders>
              <w:right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i w:val="1"/>
                <w:iCs w:val="1"/>
                <w:color w:val="auto"/>
              </w:rPr>
              <w:t>Non-GAAP Earnings per diluted share</w:t>
            </w:r>
            <w:r>
              <w:rPr>
                <w:rFonts w:ascii="Times New Roman" w:cs="Times New Roman" w:eastAsia="Times New Roman" w:hAnsi="Times New Roman"/>
                <w:sz w:val="29"/>
                <w:szCs w:val="29"/>
                <w:i w:val="1"/>
                <w:iCs w:val="1"/>
                <w:color w:val="auto"/>
                <w:vertAlign w:val="superscript"/>
              </w:rPr>
              <w:t>2</w:t>
            </w:r>
          </w:p>
        </w:tc>
        <w:tc>
          <w:tcPr>
            <w:tcW w:w="6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1.82</w:t>
            </w:r>
          </w:p>
        </w:tc>
        <w:tc>
          <w:tcPr>
            <w:tcW w:w="6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bl>
    <w:p>
      <w:pPr>
        <w:spacing w:after="0" w:line="265" w:lineRule="exact"/>
        <w:rPr>
          <w:sz w:val="20"/>
          <w:szCs w:val="20"/>
          <w:color w:val="auto"/>
        </w:rPr>
      </w:pPr>
    </w:p>
    <w:p>
      <w:pPr>
        <w:ind w:right="60" w:firstLine="8"/>
        <w:spacing w:after="0" w:line="195"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 forma Net sales and related growth rates exclude Net sales of the Stuart Weitzman Business on a reported and constant currency basis, in prior period presented. Refer to Schedule 2.</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Refer to Schedule 3 for reconciliation between GAAP and Non-GAAP measures.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Summary of Pro Forma Revenue Information (Unaudited) – in USD millions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840" w:type="dxa"/>
            <w:vAlign w:val="bottom"/>
            <w:tcBorders>
              <w:top w:val="single" w:sz="8" w:color="auto"/>
              <w:bottom w:val="single" w:sz="8" w:color="auto"/>
              <w:right w:val="single" w:sz="8" w:color="auto"/>
            </w:tcBorders>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Borders>
              <w:right w:val="single" w:sz="8" w:color="auto"/>
            </w:tcBorders>
            <w:gridSpan w:val="2"/>
          </w:tcPr>
          <w:p>
            <w:pPr>
              <w:jc w:val="right"/>
              <w:ind w:right="440"/>
              <w:spacing w:after="0" w:line="174" w:lineRule="exact"/>
              <w:rPr>
                <w:sz w:val="20"/>
                <w:szCs w:val="20"/>
                <w:color w:val="auto"/>
              </w:rPr>
            </w:pPr>
            <w:r>
              <w:rPr>
                <w:rFonts w:ascii="Times New Roman" w:cs="Times New Roman" w:eastAsia="Times New Roman" w:hAnsi="Times New Roman"/>
                <w:sz w:val="18"/>
                <w:szCs w:val="18"/>
                <w:b w:val="1"/>
                <w:bCs w:val="1"/>
                <w:color w:val="auto"/>
              </w:rPr>
              <w:t>Constant</w:t>
            </w:r>
          </w:p>
        </w:tc>
        <w:tc>
          <w:tcPr>
            <w:tcW w:w="0" w:type="dxa"/>
            <w:vAlign w:val="bottom"/>
          </w:tcPr>
          <w:p>
            <w:pPr>
              <w:spacing w:after="0"/>
              <w:rPr>
                <w:sz w:val="1"/>
                <w:szCs w:val="1"/>
                <w:color w:val="auto"/>
              </w:rPr>
            </w:pPr>
          </w:p>
        </w:tc>
      </w:tr>
      <w:tr>
        <w:trPr>
          <w:trHeight w:val="292"/>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Brand</w:t>
            </w:r>
          </w:p>
        </w:tc>
        <w:tc>
          <w:tcPr>
            <w:tcW w:w="4200" w:type="dxa"/>
            <w:vAlign w:val="bottom"/>
            <w:tcBorders>
              <w:right w:val="single" w:sz="8" w:color="auto"/>
            </w:tcBorders>
            <w:gridSpan w:val="3"/>
          </w:tcPr>
          <w:p>
            <w:pPr>
              <w:ind w:left="258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30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169"/>
        </w:trPr>
        <w:tc>
          <w:tcPr>
            <w:tcW w:w="422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right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Coach</w:t>
            </w:r>
          </w:p>
        </w:tc>
        <w:tc>
          <w:tcPr>
            <w:tcW w:w="2700" w:type="dxa"/>
            <w:vAlign w:val="bottom"/>
            <w:gridSpan w:val="2"/>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1,661</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Kate Spade</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20" w:type="dxa"/>
            <w:vAlign w:val="bottom"/>
            <w:tcBorders>
              <w:left w:val="single" w:sz="8" w:color="CCEEFF"/>
            </w:tcBorders>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2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w:t>
            </w:r>
          </w:p>
        </w:tc>
        <w:tc>
          <w:tcPr>
            <w:tcW w:w="2700" w:type="dxa"/>
            <w:vAlign w:val="bottom"/>
            <w:gridSpan w:val="2"/>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42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9"/>
                <w:szCs w:val="29"/>
                <w:color w:val="auto"/>
                <w:vertAlign w:val="superscript"/>
              </w:rPr>
              <w:t>2</w:t>
            </w:r>
          </w:p>
        </w:tc>
        <w:tc>
          <w:tcPr>
            <w:tcW w:w="2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2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42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Asia</w:t>
            </w:r>
            <w:r>
              <w:rPr>
                <w:rFonts w:ascii="Times New Roman" w:cs="Times New Roman" w:eastAsia="Times New Roman" w:hAnsi="Times New Roman"/>
                <w:sz w:val="29"/>
                <w:szCs w:val="29"/>
                <w:color w:val="auto"/>
                <w:vertAlign w:val="superscript"/>
              </w:rPr>
              <w:t>2</w:t>
            </w:r>
          </w:p>
        </w:tc>
        <w:tc>
          <w:tcPr>
            <w:tcW w:w="2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2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4220" w:type="dxa"/>
            <w:vAlign w:val="bottom"/>
            <w:tcBorders>
              <w:bottom w:val="single" w:sz="8" w:color="auto"/>
            </w:tcBorders>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tcBorders>
              <w:bottom w:val="single" w:sz="8" w:color="auto"/>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4220" w:type="dxa"/>
            <w:vAlign w:val="bottom"/>
            <w:tcBorders>
              <w:left w:val="single" w:sz="8" w:color="auto"/>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b w:val="1"/>
                <w:bCs w:val="1"/>
                <w:color w:val="auto"/>
              </w:rPr>
              <w:t>Tapestry Pro Forma</w:t>
            </w:r>
            <w:r>
              <w:rPr>
                <w:rFonts w:ascii="Times New Roman" w:cs="Times New Roman" w:eastAsia="Times New Roman" w:hAnsi="Times New Roman"/>
                <w:sz w:val="28"/>
                <w:szCs w:val="28"/>
                <w:b w:val="1"/>
                <w:bCs w:val="1"/>
                <w:color w:val="auto"/>
                <w:vertAlign w:val="superscript"/>
              </w:rPr>
              <w:t>1</w:t>
            </w:r>
          </w:p>
        </w:tc>
        <w:tc>
          <w:tcPr>
            <w:tcW w:w="2700" w:type="dxa"/>
            <w:vAlign w:val="bottom"/>
            <w:tcBorders>
              <w:bottom w:val="single" w:sz="8" w:color="auto"/>
            </w:tcBorders>
            <w:gridSpan w:val="2"/>
            <w:shd w:val="clear" w:color="auto" w:fill="CCEEFF"/>
          </w:tcPr>
          <w:p>
            <w:pPr>
              <w:ind w:left="25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1,894</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w:t>
            </w:r>
          </w:p>
        </w:tc>
        <w:tc>
          <w:tcPr>
            <w:tcW w:w="130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540"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 forma Net sales and related growth rates exclude Net sales of the Stuart Weitzman Business on a reported and constant currency basis. Refer to Schedule 2.</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Refer to "About Tapestry, Inc." section below for countries included within each region.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 Strategic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Tapestry advanced its </w:t>
      </w:r>
      <w:r>
        <w:rPr>
          <w:rFonts w:ascii="Times New Roman" w:cs="Times New Roman" w:eastAsia="Times New Roman" w:hAnsi="Times New Roman"/>
          <w:sz w:val="18"/>
          <w:szCs w:val="18"/>
          <w:b w:val="1"/>
          <w:bCs w:val="1"/>
          <w:color w:val="auto"/>
        </w:rPr>
        <w:t>Amplify growth strategy</w:t>
      </w:r>
      <w:r>
        <w:rPr>
          <w:rFonts w:ascii="Times New Roman" w:cs="Times New Roman" w:eastAsia="Times New Roman" w:hAnsi="Times New Roman"/>
          <w:sz w:val="18"/>
          <w:szCs w:val="18"/>
          <w:color w:val="auto"/>
        </w:rPr>
        <w:t>, which is focused on four key pillars that underpin durable growth:</w:t>
      </w:r>
    </w:p>
    <w:p>
      <w:pPr>
        <w:spacing w:after="0" w:line="21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Build Emotional Connection with Consumers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Fuel Fashion Innovation and Product Excellence</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Deliver Compelling Experiences to Drive Global Growth</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Ignite the Power of our People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strategy is driving the Company’s results and deepening the competitive advantages that support long-term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from the fiscal first quarter of 2027 included:</w:t>
      </w:r>
    </w:p>
    <w:p>
      <w:pPr>
        <w:spacing w:after="0" w:line="221" w:lineRule="exact"/>
        <w:rPr>
          <w:sz w:val="20"/>
          <w:szCs w:val="20"/>
          <w:color w:val="auto"/>
        </w:rPr>
      </w:pPr>
    </w:p>
    <w:p>
      <w:pPr>
        <w:jc w:val="right"/>
        <w:ind w:left="980" w:right="20" w:hanging="648"/>
        <w:spacing w:after="0" w:line="237" w:lineRule="auto"/>
        <w:tabs>
          <w:tab w:leader="none" w:pos="65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Drove strong new customer acquisition globally</w:t>
      </w:r>
      <w:r>
        <w:rPr>
          <w:rFonts w:ascii="Times New Roman" w:cs="Times New Roman" w:eastAsia="Times New Roman" w:hAnsi="Times New Roman"/>
          <w:sz w:val="18"/>
          <w:szCs w:val="18"/>
          <w:color w:val="auto"/>
        </w:rPr>
        <w:t>, welcoming 2.6 million new consumers in the quarter, of which approximately 35% were 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 at the same time, demand from existing customers increased, demonstrating the Company’s ability to create lasting consumer relationships;</w:t>
      </w:r>
    </w:p>
    <w:p>
      <w:pPr>
        <w:spacing w:after="0" w:line="22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7" w:name="page8"/>
    <w:bookmarkEnd w:id="7"/>
    <w:p>
      <w:pPr>
        <w:ind w:left="980" w:hanging="648"/>
        <w:spacing w:after="0" w:line="237" w:lineRule="auto"/>
        <w:tabs>
          <w:tab w:leader="none" w:pos="6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Achieved strong growth in the core leathergoods offering</w:t>
      </w:r>
      <w:r>
        <w:rPr>
          <w:rFonts w:ascii="Times New Roman" w:cs="Times New Roman" w:eastAsia="Times New Roman" w:hAnsi="Times New Roman"/>
          <w:sz w:val="18"/>
          <w:szCs w:val="18"/>
          <w:color w:val="auto"/>
        </w:rPr>
        <w:t>, led by handbag revenue gains at Coach, where handbag AUR increased at a low-double-digit percentage rate and units rose low-single digits, underscoring the brand's desirability, innovation, and value proposition;</w:t>
      </w:r>
    </w:p>
    <w:p>
      <w:pPr>
        <w:spacing w:after="0" w:line="193" w:lineRule="exact"/>
        <w:rPr>
          <w:rFonts w:ascii="Times New Roman" w:cs="Times New Roman" w:eastAsia="Times New Roman" w:hAnsi="Times New Roman"/>
          <w:sz w:val="22"/>
          <w:szCs w:val="22"/>
          <w:color w:val="auto"/>
        </w:rPr>
      </w:pPr>
    </w:p>
    <w:p>
      <w:pPr>
        <w:jc w:val="right"/>
        <w:ind w:left="980" w:hanging="648"/>
        <w:spacing w:after="0" w:line="237" w:lineRule="auto"/>
        <w:tabs>
          <w:tab w:leader="none" w:pos="6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Delivered broad-based growth across regions, gaining market share, and expanding the overall category</w:t>
      </w:r>
      <w:r>
        <w:rPr>
          <w:rFonts w:ascii="Times New Roman" w:cs="Times New Roman" w:eastAsia="Times New Roman" w:hAnsi="Times New Roman"/>
          <w:sz w:val="18"/>
          <w:szCs w:val="18"/>
          <w:color w:val="auto"/>
        </w:rPr>
        <w:t>. On a pro forma constant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in the first quarter, North America revenue grew 4%, Europe revenue increased 22%, and APAC revenue rose 28%, which included</w:t>
      </w:r>
    </w:p>
    <w:p>
      <w:pPr>
        <w:ind w:left="660"/>
        <w:spacing w:after="0"/>
        <w:rPr>
          <w:sz w:val="20"/>
          <w:szCs w:val="20"/>
          <w:color w:val="auto"/>
        </w:rPr>
      </w:pPr>
      <w:r>
        <w:rPr>
          <w:rFonts w:ascii="Times New Roman" w:cs="Times New Roman" w:eastAsia="Times New Roman" w:hAnsi="Times New Roman"/>
          <w:sz w:val="18"/>
          <w:szCs w:val="18"/>
          <w:color w:val="auto"/>
        </w:rPr>
        <w:t xml:space="preserve">Greater China growth of 39%. </w:t>
      </w:r>
      <w:r>
        <w:rPr>
          <w:rFonts w:ascii="Times New Roman" w:cs="Times New Roman" w:eastAsia="Times New Roman" w:hAnsi="Times New Roman"/>
          <w:sz w:val="18"/>
          <w:szCs w:val="18"/>
          <w:b w:val="1"/>
          <w:bCs w:val="1"/>
          <w:color w:val="auto"/>
        </w:rPr>
        <w:t>Coach delivered 16% growth, including 7% growth in North America and 30% growth internationally;</w:t>
      </w:r>
    </w:p>
    <w:p>
      <w:pPr>
        <w:spacing w:after="0" w:line="18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Drove 9% Direct-to-Consumer revenue growth on a pro forma basis, exceeding expectations</w:t>
      </w:r>
      <w:r>
        <w:rPr>
          <w:rFonts w:ascii="Times New Roman" w:cs="Times New Roman" w:eastAsia="Times New Roman" w:hAnsi="Times New Roman"/>
          <w:sz w:val="18"/>
          <w:szCs w:val="18"/>
          <w:color w:val="auto"/>
        </w:rPr>
        <w:t>, with store revenue growing low-double-digits</w:t>
      </w:r>
    </w:p>
    <w:p>
      <w:pPr>
        <w:spacing w:after="0" w:line="2" w:lineRule="exact"/>
        <w:rPr>
          <w:sz w:val="20"/>
          <w:szCs w:val="20"/>
          <w:color w:val="auto"/>
        </w:rPr>
      </w:pPr>
    </w:p>
    <w:p>
      <w:pPr>
        <w:jc w:val="both"/>
        <w:ind w:left="660" w:firstLine="324"/>
        <w:spacing w:after="0" w:line="254" w:lineRule="auto"/>
        <w:rPr>
          <w:sz w:val="20"/>
          <w:szCs w:val="20"/>
          <w:color w:val="auto"/>
        </w:rPr>
      </w:pPr>
      <w:r>
        <w:rPr>
          <w:rFonts w:ascii="Times New Roman" w:cs="Times New Roman" w:eastAsia="Times New Roman" w:hAnsi="Times New Roman"/>
          <w:sz w:val="18"/>
          <w:szCs w:val="18"/>
          <w:color w:val="auto"/>
        </w:rPr>
        <w:t>and digital increasing mid-single-digits. In addition, wholesale growth of approximately 30% was driven by international markets; strong profitability in each channel allows the Company to meet consumers where they are, delivering brand-accretive experiences while generating compelling returns.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Overall, Tapestry grew pro forma revenue by 12%, non-GAAP operating profit by 24%, and non-GAAP earnings per diluted share by 32%, demonstrating the compounding advantages of its brand-building capabilities, global scale, and disciplined execution.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Return Programs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now expects to return approximately $2.0 billion to shareholders in Fiscal 2027 through its capital return programs, an increase from prior guidance, which includes approximately $700 million returned in the fiscal first quarter:</w:t>
      </w:r>
    </w:p>
    <w:p>
      <w:pPr>
        <w:spacing w:after="0" w:line="158" w:lineRule="exact"/>
        <w:rPr>
          <w:sz w:val="20"/>
          <w:szCs w:val="20"/>
          <w:color w:val="auto"/>
        </w:rPr>
      </w:pPr>
    </w:p>
    <w:p>
      <w:pPr>
        <w:jc w:val="both"/>
        <w:ind w:left="660" w:hanging="328"/>
        <w:spacing w:after="0" w:line="268" w:lineRule="auto"/>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Dividend: </w:t>
      </w:r>
      <w:r>
        <w:rPr>
          <w:rFonts w:ascii="Times New Roman" w:cs="Times New Roman" w:eastAsia="Times New Roman" w:hAnsi="Times New Roman"/>
          <w:sz w:val="18"/>
          <w:szCs w:val="18"/>
          <w:color w:val="auto"/>
        </w:rPr>
        <w:t>The Company’s Board of Directors declared a quarterly cash dividend of $0.4625 per common share payable on December 21, 2026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record as of the close of business on December 4, 2026. In Fiscal 2027, the Company continues to anticipate an annual dividend of $1.85 per share.</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jc w:val="both"/>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Share Repurchases</w:t>
      </w:r>
      <w:r>
        <w:rPr>
          <w:rFonts w:ascii="Times New Roman" w:cs="Times New Roman" w:eastAsia="Times New Roman" w:hAnsi="Times New Roman"/>
          <w:sz w:val="18"/>
          <w:szCs w:val="18"/>
          <w:color w:val="auto"/>
        </w:rPr>
        <w:t>: Tapestry now expects to repurchase $1.7 billion in common stock in the fiscal year under its existing share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an increase of $350 million versus its prior guidance. During the first quarter, the Company spent $600 million to repurchase approximately 4.6 million shares of its common stock at an average cost of $130 per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first quarter of 2027, Tapestry recorded charges related to distribution network optimization initiatives that decreased operating income by $15 million, net income by $11 million, and diluted earnings per share by $0.06.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the Financial Schedules included herein for a full reconciliation of the Company’s reported GAAP to non-GAAP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Fiscal 2027 First Quarter Financial Results</w:t>
      </w:r>
    </w:p>
    <w:p>
      <w:pPr>
        <w:spacing w:after="0" w:line="225" w:lineRule="exact"/>
        <w:rPr>
          <w:sz w:val="20"/>
          <w:szCs w:val="20"/>
          <w:color w:val="auto"/>
        </w:rPr>
      </w:pPr>
    </w:p>
    <w:p>
      <w:pPr>
        <w:ind w:left="980" w:hanging="648"/>
        <w:spacing w:after="0" w:line="237" w:lineRule="auto"/>
        <w:tabs>
          <w:tab w:leader="none" w:pos="65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totaled $1.89 billion, increasing 11% on a reported and constant currency basis. Excluding Stuart Weitzman sales in the prior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pro forma net sales increased 12% on a reported and constant currency basis.</w:t>
      </w:r>
    </w:p>
    <w:p>
      <w:pPr>
        <w:spacing w:after="0" w:line="193" w:lineRule="exact"/>
        <w:rPr>
          <w:rFonts w:ascii="Times New Roman" w:cs="Times New Roman" w:eastAsia="Times New Roman" w:hAnsi="Times New Roman"/>
          <w:sz w:val="22"/>
          <w:szCs w:val="22"/>
          <w:color w:val="auto"/>
        </w:rPr>
      </w:pPr>
    </w:p>
    <w:p>
      <w:pPr>
        <w:jc w:val="right"/>
        <w:ind w:left="980" w:hanging="648"/>
        <w:spacing w:after="0" w:line="237" w:lineRule="auto"/>
        <w:tabs>
          <w:tab w:leader="none" w:pos="65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totaled $1.49 billion on a GAAP basis compared to $1.30 billion in the prior year. On a non-GAAP basis, gross profit totaled $1.49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while gross margin was 78.7%, representing an expansion of 220 basis points versus prior year, driven by operational improvements</w:t>
      </w:r>
    </w:p>
    <w:p>
      <w:pPr>
        <w:jc w:val="center"/>
        <w:ind w:right="60"/>
        <w:spacing w:after="0"/>
        <w:rPr>
          <w:sz w:val="20"/>
          <w:szCs w:val="20"/>
          <w:color w:val="auto"/>
        </w:rPr>
      </w:pPr>
      <w:r>
        <w:rPr>
          <w:rFonts w:ascii="Times New Roman" w:cs="Times New Roman" w:eastAsia="Times New Roman" w:hAnsi="Times New Roman"/>
          <w:sz w:val="18"/>
          <w:szCs w:val="18"/>
          <w:color w:val="auto"/>
        </w:rPr>
        <w:t>of approximately 130 basis points, a 70-basis point net benefit from tariffs and duties, and a 20-basis point benefit from foreign currency.</w:t>
      </w:r>
    </w:p>
    <w:p>
      <w:pPr>
        <w:spacing w:after="0" w:line="203" w:lineRule="exact"/>
        <w:rPr>
          <w:sz w:val="20"/>
          <w:szCs w:val="20"/>
          <w:color w:val="auto"/>
        </w:rPr>
      </w:pPr>
    </w:p>
    <w:p>
      <w:pPr>
        <w:jc w:val="right"/>
        <w:ind w:left="980" w:hanging="648"/>
        <w:spacing w:after="0" w:line="237" w:lineRule="auto"/>
        <w:tabs>
          <w:tab w:leader="none" w:pos="65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totaled $1.06 billion on a GAAP basis compared to $973 million in the prior year. On a non-GAAP basis, SG&amp;A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totaled $1.05 billion, representing 55.5% of sales, 10 basis points below prior year, including a 140-basis point increase in marketing</w:t>
      </w:r>
    </w:p>
    <w:p>
      <w:pPr>
        <w:ind w:left="660"/>
        <w:spacing w:after="0"/>
        <w:rPr>
          <w:sz w:val="20"/>
          <w:szCs w:val="20"/>
          <w:color w:val="auto"/>
        </w:rPr>
      </w:pPr>
      <w:r>
        <w:rPr>
          <w:rFonts w:ascii="Times New Roman" w:cs="Times New Roman" w:eastAsia="Times New Roman" w:hAnsi="Times New Roman"/>
          <w:sz w:val="18"/>
          <w:szCs w:val="18"/>
          <w:color w:val="auto"/>
        </w:rPr>
        <w:t>investment.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 w:name="page10"/>
    <w:bookmarkEnd w:id="9"/>
    <w:p>
      <w:pPr>
        <w:jc w:val="right"/>
        <w:ind w:left="980" w:hanging="648"/>
        <w:spacing w:after="0" w:line="237" w:lineRule="auto"/>
        <w:tabs>
          <w:tab w:leader="none" w:pos="65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$424 million on a GAAP basis, compared to prior year operating income of $328 million. On a non-GAAP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income was $439 million, an increase of 24% versus the prior year, while operating margin was 23.2%, representing an expansion</w:t>
      </w:r>
    </w:p>
    <w:p>
      <w:pPr>
        <w:ind w:left="660"/>
        <w:spacing w:after="0"/>
        <w:rPr>
          <w:sz w:val="20"/>
          <w:szCs w:val="20"/>
          <w:color w:val="auto"/>
        </w:rPr>
      </w:pPr>
      <w:r>
        <w:rPr>
          <w:rFonts w:ascii="Times New Roman" w:cs="Times New Roman" w:eastAsia="Times New Roman" w:hAnsi="Times New Roman"/>
          <w:sz w:val="18"/>
          <w:szCs w:val="18"/>
          <w:color w:val="auto"/>
        </w:rPr>
        <w:t>of approximately 230 basis points versus the prior year.</w:t>
      </w:r>
    </w:p>
    <w:p>
      <w:pPr>
        <w:spacing w:after="0" w:line="18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Net interest expense </w:t>
      </w:r>
      <w:r>
        <w:rPr>
          <w:rFonts w:ascii="Times New Roman" w:cs="Times New Roman" w:eastAsia="Times New Roman" w:hAnsi="Times New Roman"/>
          <w:sz w:val="18"/>
          <w:szCs w:val="18"/>
          <w:color w:val="auto"/>
        </w:rPr>
        <w:t>was $13 million in both the current and prior year.</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was less than $1 million versus other income of $4 million in the prior year.</w:t>
      </w:r>
    </w:p>
    <w:p>
      <w:pPr>
        <w:spacing w:after="0" w:line="220" w:lineRule="exact"/>
        <w:rPr>
          <w:rFonts w:ascii="Times New Roman" w:cs="Times New Roman" w:eastAsia="Times New Roman" w:hAnsi="Times New Roman"/>
          <w:sz w:val="22"/>
          <w:szCs w:val="22"/>
          <w:color w:val="auto"/>
        </w:rPr>
      </w:pPr>
    </w:p>
    <w:p>
      <w:pPr>
        <w:ind w:left="980" w:right="20" w:hanging="648"/>
        <w:spacing w:after="0" w:line="237" w:lineRule="auto"/>
        <w:tabs>
          <w:tab w:leader="none" w:pos="6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Tax rate </w:t>
      </w:r>
      <w:r>
        <w:rPr>
          <w:rFonts w:ascii="Times New Roman" w:cs="Times New Roman" w:eastAsia="Times New Roman" w:hAnsi="Times New Roman"/>
          <w:sz w:val="18"/>
          <w:szCs w:val="18"/>
          <w:color w:val="auto"/>
        </w:rPr>
        <w:t>was 12.5% on a GAAP basis and 12.7% on a non-GAAP basis versus the prior year tax rate of 13.8% on a GAAP basis and 13.7%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non-GAAP basis.</w:t>
      </w:r>
    </w:p>
    <w:p>
      <w:pPr>
        <w:spacing w:after="0" w:line="193" w:lineRule="exact"/>
        <w:rPr>
          <w:rFonts w:ascii="Times New Roman" w:cs="Times New Roman" w:eastAsia="Times New Roman" w:hAnsi="Times New Roman"/>
          <w:sz w:val="22"/>
          <w:szCs w:val="22"/>
          <w:color w:val="auto"/>
        </w:rPr>
      </w:pPr>
    </w:p>
    <w:p>
      <w:pPr>
        <w:ind w:left="980" w:hanging="648"/>
        <w:spacing w:after="0" w:line="237" w:lineRule="auto"/>
        <w:tabs>
          <w:tab w:leader="none" w:pos="6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Earnings per diluted share </w:t>
      </w:r>
      <w:r>
        <w:rPr>
          <w:rFonts w:ascii="Times New Roman" w:cs="Times New Roman" w:eastAsia="Times New Roman" w:hAnsi="Times New Roman"/>
          <w:sz w:val="18"/>
          <w:szCs w:val="18"/>
          <w:color w:val="auto"/>
        </w:rPr>
        <w:t>was $1.76 on a GAAP basis compared to $1.28 in the prior year, an increase of 38%. Non-GAAP EPS was $1.82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$1.38 in the prior year, an increase of 32%.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and Cash Flow Highlights</w:t>
      </w:r>
    </w:p>
    <w:p>
      <w:pPr>
        <w:spacing w:after="0" w:line="226" w:lineRule="exact"/>
        <w:rPr>
          <w:sz w:val="20"/>
          <w:szCs w:val="20"/>
          <w:color w:val="auto"/>
        </w:rPr>
      </w:pPr>
    </w:p>
    <w:p>
      <w:pPr>
        <w:jc w:val="both"/>
        <w:ind w:left="660" w:right="480" w:hanging="328"/>
        <w:spacing w:after="0" w:line="246" w:lineRule="auto"/>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Cash, cash equivalents and short-term investments </w:t>
      </w:r>
      <w:r>
        <w:rPr>
          <w:rFonts w:ascii="Times New Roman" w:cs="Times New Roman" w:eastAsia="Times New Roman" w:hAnsi="Times New Roman"/>
          <w:sz w:val="22"/>
          <w:szCs w:val="22"/>
          <w:color w:val="auto"/>
        </w:rPr>
        <w:t>totaled $782 million and</w:t>
      </w:r>
      <w:r>
        <w:rPr>
          <w:rFonts w:ascii="Times New Roman" w:cs="Times New Roman" w:eastAsia="Times New Roman" w:hAnsi="Times New Roman"/>
          <w:sz w:val="22"/>
          <w:szCs w:val="22"/>
          <w:b w:val="1"/>
          <w:bCs w:val="1"/>
          <w:color w:val="auto"/>
        </w:rPr>
        <w:t xml:space="preserve"> total borrowings outstanding </w:t>
      </w:r>
      <w:r>
        <w:rPr>
          <w:rFonts w:ascii="Times New Roman" w:cs="Times New Roman" w:eastAsia="Times New Roman" w:hAnsi="Times New Roman"/>
          <w:sz w:val="22"/>
          <w:szCs w:val="22"/>
          <w:color w:val="auto"/>
        </w:rPr>
        <w:t>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$2.56 billion. The Company’s leverage ratio, based on gross debt to adjusted EBITDA, was 1.1x as of the end of the fiscal quarter.</w:t>
      </w:r>
    </w:p>
    <w:p>
      <w:pPr>
        <w:spacing w:after="0" w:line="19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Inventory </w:t>
      </w:r>
      <w:r>
        <w:rPr>
          <w:rFonts w:ascii="Times New Roman" w:cs="Times New Roman" w:eastAsia="Times New Roman" w:hAnsi="Times New Roman"/>
          <w:sz w:val="22"/>
          <w:szCs w:val="22"/>
          <w:color w:val="auto"/>
        </w:rPr>
        <w:t>was $1.06 billion versus prior year ending inventory of $1.02 billion.</w:t>
      </w:r>
    </w:p>
    <w:p>
      <w:pPr>
        <w:spacing w:after="0" w:line="233" w:lineRule="exact"/>
        <w:rPr>
          <w:rFonts w:ascii="Times New Roman" w:cs="Times New Roman" w:eastAsia="Times New Roman" w:hAnsi="Times New Roman"/>
          <w:sz w:val="22"/>
          <w:szCs w:val="22"/>
          <w:color w:val="auto"/>
        </w:rPr>
      </w:pPr>
    </w:p>
    <w:p>
      <w:pPr>
        <w:ind w:left="660" w:right="280" w:hanging="328"/>
        <w:spacing w:after="0" w:line="286"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Cash flow from operating activities </w:t>
      </w:r>
      <w:r>
        <w:rPr>
          <w:rFonts w:ascii="Times New Roman" w:cs="Times New Roman" w:eastAsia="Times New Roman" w:hAnsi="Times New Roman"/>
          <w:sz w:val="21"/>
          <w:szCs w:val="21"/>
          <w:color w:val="auto"/>
        </w:rPr>
        <w:t>was an inflow of $197 million compared to an inflow of $113 million in the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year. </w:t>
      </w:r>
      <w:r>
        <w:rPr>
          <w:rFonts w:ascii="Times New Roman" w:cs="Times New Roman" w:eastAsia="Times New Roman" w:hAnsi="Times New Roman"/>
          <w:sz w:val="21"/>
          <w:szCs w:val="21"/>
          <w:b w:val="1"/>
          <w:bCs w:val="1"/>
          <w:color w:val="auto"/>
        </w:rPr>
        <w:t>Adjusted free cash flow</w:t>
      </w:r>
      <w:r>
        <w:rPr>
          <w:rFonts w:ascii="Times New Roman" w:cs="Times New Roman" w:eastAsia="Times New Roman" w:hAnsi="Times New Roman"/>
          <w:sz w:val="21"/>
          <w:szCs w:val="21"/>
          <w:color w:val="auto"/>
        </w:rPr>
        <w:t xml:space="preserve"> was an inflow of $56 million compared to an inflow of $103 million in the prior year.</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CapEx and implementation costs related to Cloud Computing </w:t>
      </w:r>
      <w:r>
        <w:rPr>
          <w:rFonts w:ascii="Times New Roman" w:cs="Times New Roman" w:eastAsia="Times New Roman" w:hAnsi="Times New Roman"/>
          <w:sz w:val="18"/>
          <w:szCs w:val="18"/>
          <w:color w:val="auto"/>
        </w:rPr>
        <w:t>were $55 million versus $38 million a year ago.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Tapestry is raising its Fiscal 2027 outlook, which is provided on a non-GAAP and comparable 52-week versus 52-week basis:</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of approximately $8.5 billion to $8.6 billion, representing approximately 6% to 7% growth on a constant currency basis versus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Foreign currency is expected to be a 30 basis point benefit to revenue growth in the fiscal year. This is above prior guidance of $8.4 billion to $8.5 billion;</w:t>
      </w:r>
    </w:p>
    <w:p>
      <w:pPr>
        <w:spacing w:after="0" w:line="169" w:lineRule="exact"/>
        <w:rPr>
          <w:rFonts w:ascii="Arial" w:cs="Arial" w:eastAsia="Arial" w:hAnsi="Arial"/>
          <w:sz w:val="18"/>
          <w:szCs w:val="18"/>
          <w:color w:val="auto"/>
        </w:rPr>
      </w:pPr>
    </w:p>
    <w:p>
      <w:pPr>
        <w:ind w:left="660" w:hanging="328"/>
        <w:spacing w:after="0" w:line="285" w:lineRule="auto"/>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Operating margin </w:t>
      </w:r>
      <w:r>
        <w:rPr>
          <w:rFonts w:ascii="Times New Roman" w:cs="Times New Roman" w:eastAsia="Times New Roman" w:hAnsi="Times New Roman"/>
          <w:sz w:val="18"/>
          <w:szCs w:val="18"/>
          <w:color w:val="auto"/>
        </w:rPr>
        <w:t>expansion of approximately 100 basis points versus prior year. This is above prior guidance for an increase of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 basis points;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Net interest expense </w:t>
      </w:r>
      <w:r>
        <w:rPr>
          <w:rFonts w:ascii="Times New Roman" w:cs="Times New Roman" w:eastAsia="Times New Roman" w:hAnsi="Times New Roman"/>
          <w:sz w:val="18"/>
          <w:szCs w:val="18"/>
          <w:color w:val="auto"/>
        </w:rPr>
        <w:t>of approximately $60 million versus prior guidance of approximately $55 million;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Tax rate </w:t>
      </w:r>
      <w:r>
        <w:rPr>
          <w:rFonts w:ascii="Times New Roman" w:cs="Times New Roman" w:eastAsia="Times New Roman" w:hAnsi="Times New Roman"/>
          <w:sz w:val="18"/>
          <w:szCs w:val="18"/>
          <w:color w:val="auto"/>
        </w:rPr>
        <w:t>of approximately 18% versus prior guidance of approximately 18.5%;</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Weighted average diluted share count </w:t>
      </w:r>
      <w:r>
        <w:rPr>
          <w:rFonts w:ascii="Times New Roman" w:cs="Times New Roman" w:eastAsia="Times New Roman" w:hAnsi="Times New Roman"/>
          <w:sz w:val="18"/>
          <w:szCs w:val="18"/>
          <w:color w:val="auto"/>
        </w:rPr>
        <w:t>of approximately 200 million, versus prior guidance of approximately 203 million;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Earnings per diluted share </w:t>
      </w:r>
      <w:r>
        <w:rPr>
          <w:rFonts w:ascii="Times New Roman" w:cs="Times New Roman" w:eastAsia="Times New Roman" w:hAnsi="Times New Roman"/>
          <w:sz w:val="18"/>
          <w:szCs w:val="18"/>
          <w:color w:val="auto"/>
        </w:rPr>
        <w:t>of $8.25 to $8.35, representing 17% to 18% growth versus prior year. This is above prior guidance of $7.80 to $7.90</w:t>
      </w:r>
      <w:r>
        <w:rPr>
          <w:rFonts w:ascii="Times New Roman" w:cs="Times New Roman" w:eastAsia="Times New Roman" w:hAnsi="Times New Roman"/>
          <w:sz w:val="18"/>
          <w:szCs w:val="18"/>
          <w:b w:val="1"/>
          <w:bCs w:val="1"/>
          <w:color w:val="auto"/>
        </w:rPr>
        <w:t>;</w:t>
      </w:r>
    </w:p>
    <w:p>
      <w:pPr>
        <w:spacing w:after="0" w:line="251" w:lineRule="exact"/>
        <w:rPr>
          <w:rFonts w:ascii="Arial" w:cs="Arial" w:eastAsia="Arial" w:hAnsi="Arial"/>
          <w:sz w:val="18"/>
          <w:szCs w:val="18"/>
          <w:color w:val="auto"/>
        </w:rPr>
      </w:pPr>
    </w:p>
    <w:p>
      <w:pPr>
        <w:ind w:left="660" w:right="20" w:hanging="328"/>
        <w:spacing w:after="0" w:line="285" w:lineRule="auto"/>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Adjusted free cash flow </w:t>
      </w:r>
      <w:r>
        <w:rPr>
          <w:rFonts w:ascii="Times New Roman" w:cs="Times New Roman" w:eastAsia="Times New Roman" w:hAnsi="Times New Roman"/>
          <w:sz w:val="18"/>
          <w:szCs w:val="18"/>
          <w:color w:val="auto"/>
        </w:rPr>
        <w:t>approaching $1.7 billion, including CapEx and Cloud Computing costs of $300 million or approximately 3% to 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This is unchanged from prior guidance.</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 addition, for the second fiscal quarter of 2027, the Company expects:</w:t>
      </w:r>
    </w:p>
    <w:p>
      <w:pPr>
        <w:spacing w:after="0" w:line="221" w:lineRule="exact"/>
        <w:rPr>
          <w:sz w:val="20"/>
          <w:szCs w:val="20"/>
          <w:color w:val="auto"/>
        </w:rPr>
      </w:pPr>
    </w:p>
    <w:p>
      <w:pPr>
        <w:ind w:left="660" w:hanging="328"/>
        <w:spacing w:after="0" w:line="285" w:lineRule="auto"/>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growth of approximately 5% to 6% on a constant currency basis versus prior year. Foreign currency is expected to be a 70 basis point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to revenue growth in the fiscal quarter;</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Earnings per diluted share </w:t>
      </w:r>
      <w:r>
        <w:rPr>
          <w:rFonts w:ascii="Times New Roman" w:cs="Times New Roman" w:eastAsia="Times New Roman" w:hAnsi="Times New Roman"/>
          <w:sz w:val="18"/>
          <w:szCs w:val="18"/>
          <w:color w:val="auto"/>
        </w:rPr>
        <w:t>of approximately $3.05, representing low-teens growth versus prior year.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the Company’s non-GAAP outlook:</w:t>
      </w:r>
    </w:p>
    <w:p>
      <w:pPr>
        <w:spacing w:after="0" w:line="229" w:lineRule="exact"/>
        <w:rPr>
          <w:sz w:val="20"/>
          <w:szCs w:val="20"/>
          <w:color w:val="auto"/>
        </w:rPr>
      </w:pPr>
    </w:p>
    <w:p>
      <w:pPr>
        <w:ind w:left="660" w:hanging="328"/>
        <w:spacing w:after="0" w:line="188" w:lineRule="auto"/>
        <w:tabs>
          <w:tab w:leader="none" w:pos="660" w:val="left"/>
        </w:tabs>
        <w:numPr>
          <w:ilvl w:val="0"/>
          <w:numId w:val="19"/>
        </w:numPr>
        <w:rPr>
          <w:rFonts w:ascii="Arial" w:cs="Arial" w:eastAsia="Arial" w:hAnsi="Arial"/>
          <w:sz w:val="36"/>
          <w:szCs w:val="36"/>
          <w:color w:val="auto"/>
          <w:vertAlign w:val="superscript"/>
        </w:rPr>
      </w:pPr>
      <w:r>
        <w:rPr>
          <w:rFonts w:ascii="Times New Roman" w:cs="Times New Roman" w:eastAsia="Times New Roman" w:hAnsi="Times New Roman"/>
          <w:sz w:val="18"/>
          <w:szCs w:val="18"/>
          <w:color w:val="auto"/>
        </w:rPr>
        <w:t>Excludes the impact of the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week in Fiscal 2027, which is expected to contribute an additional percentage point to annual revenue growth and have a neutral impact on operating margin for the full fiscal year;</w:t>
      </w:r>
    </w:p>
    <w:p>
      <w:pPr>
        <w:spacing w:after="0" w:line="19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Embeds a low-to-mid-20% tariff rate on U.S. inventory receipts in Fiscal 2027, resulting in a modest net benefit from tariffs year-over-year;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Embeds current global tax policies, including the impact of OECD Pillar Two guidance;</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Includes foreign currency exchange rates using spot rates at the time of forecast;</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Assumes no material worsening of inflationary pressures or consumer confidence.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dynamic nature of these and other external factors, financial results could differ materially from the outlook provided.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Outlook - Non-GAAP Adjustments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not able to provide a full reconciliation of the non-GAAP financial measures to GAAP presented in this release and on the Company’s conference call because certain material items that impact these measures have not yet occurred and cannot be reasonably estimated at this time. Accordingly, a reconciliation of the Company’s non-GAAP financial measure guidance to the corresponding GAAP measure is not available without unreasonable effort.</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review these results at 8:00 a.m. (ET) today, November 5, 2026. Interested parties may listen to the conference call via live webcast by accessing </w:t>
      </w:r>
      <w:r>
        <w:rPr>
          <w:rFonts w:ascii="Times New Roman" w:cs="Times New Roman" w:eastAsia="Times New Roman" w:hAnsi="Times New Roman"/>
          <w:sz w:val="18"/>
          <w:szCs w:val="18"/>
          <w:u w:val="single" w:color="auto"/>
          <w:color w:val="auto"/>
        </w:rPr>
        <w:t>www.tapestry.com/investors</w:t>
      </w:r>
      <w:r>
        <w:rPr>
          <w:rFonts w:ascii="Times New Roman" w:cs="Times New Roman" w:eastAsia="Times New Roman" w:hAnsi="Times New Roman"/>
          <w:sz w:val="18"/>
          <w:szCs w:val="18"/>
          <w:color w:val="auto"/>
        </w:rPr>
        <w:t xml:space="preserve"> or calling 1-866-847-4217 or 1-203-518-9845 and providing the Conference ID 1183076. A telephone replay will be available starting at 12:00 p.m. (ET) today for a period of five business days. To access the telephone replay, call 1-800-283-4641 or 1-402-220-0851. A webcast replay of the earnings conference call will also be available for five business days on the Tapestry website. In addition, presentation slides have been posted to the Company’s website at </w:t>
      </w:r>
      <w:r>
        <w:rPr>
          <w:rFonts w:ascii="Times New Roman" w:cs="Times New Roman" w:eastAsia="Times New Roman" w:hAnsi="Times New Roman"/>
          <w:sz w:val="18"/>
          <w:szCs w:val="18"/>
          <w:u w:val="single" w:color="auto"/>
          <w:color w:val="auto"/>
        </w:rPr>
        <w:t>www.tapestry.com/investors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report fiscal 2027 second quarter results on Thursday, February 4,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notification of future announcements, please register at </w:t>
      </w:r>
      <w:r>
        <w:rPr>
          <w:rFonts w:ascii="Times New Roman" w:cs="Times New Roman" w:eastAsia="Times New Roman" w:hAnsi="Times New Roman"/>
          <w:sz w:val="18"/>
          <w:szCs w:val="18"/>
          <w:u w:val="single" w:color="auto"/>
          <w:color w:val="auto"/>
        </w:rPr>
        <w:t>www.tapestry.com/investors</w:t>
      </w:r>
      <w:r>
        <w:rPr>
          <w:rFonts w:ascii="Times New Roman" w:cs="Times New Roman" w:eastAsia="Times New Roman" w:hAnsi="Times New Roman"/>
          <w:sz w:val="18"/>
          <w:szCs w:val="18"/>
          <w:color w:val="auto"/>
        </w:rPr>
        <w:t xml:space="preserve"> ("Subscribe to E-Mail Alerts").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Tapestry,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global house of iconic accessories and lifestyle brands unites the magic of Coach and Kate Spade New York. Together, we stretch what’s possible – advancing brands further than they could go alone, expanding their reach to new geographies and generations. Inspired by our consumers, we create experiences and products that build lasting brand love and elevate everyday life. To learn more about Tapestry, please visit </w:t>
      </w:r>
      <w:r>
        <w:rPr>
          <w:rFonts w:ascii="Times New Roman" w:cs="Times New Roman" w:eastAsia="Times New Roman" w:hAnsi="Times New Roman"/>
          <w:sz w:val="18"/>
          <w:szCs w:val="18"/>
          <w:u w:val="single" w:color="auto"/>
          <w:color w:val="auto"/>
        </w:rPr>
        <w:t>www.tapestry.com</w:t>
      </w:r>
      <w:r>
        <w:rPr>
          <w:rFonts w:ascii="Times New Roman" w:cs="Times New Roman" w:eastAsia="Times New Roman" w:hAnsi="Times New Roman"/>
          <w:sz w:val="18"/>
          <w:szCs w:val="18"/>
          <w:color w:val="auto"/>
        </w:rPr>
        <w:t xml:space="preserve">. For important news and information regarding Tapestry, visit the Investor Relations section of our website at </w:t>
      </w:r>
      <w:r>
        <w:rPr>
          <w:rFonts w:ascii="Times New Roman" w:cs="Times New Roman" w:eastAsia="Times New Roman" w:hAnsi="Times New Roman"/>
          <w:sz w:val="18"/>
          <w:szCs w:val="18"/>
          <w:u w:val="single" w:color="auto"/>
          <w:color w:val="auto"/>
        </w:rPr>
        <w:t>www.tapestry.com/investors</w:t>
      </w:r>
      <w:r>
        <w:rPr>
          <w:rFonts w:ascii="Times New Roman" w:cs="Times New Roman" w:eastAsia="Times New Roman" w:hAnsi="Times New Roman"/>
          <w:sz w:val="18"/>
          <w:szCs w:val="18"/>
          <w:color w:val="auto"/>
        </w:rPr>
        <w:t>. In addition, investors should continue to review our news releases and filings with the SEC. We use each of these channels of distribution as primary channels for publishing key information to our investors, some of which may contain material and previously non-public information. The Company’s common stock is traded on the New York Stock Exchange under the symbol TPR.</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information made available in this press release may contain forward-looking statements based on management's current expectations. Forward-looking statements include, but are not limited to, the statements under “Financial Outlook,” statements regarding long-term performance, statements regarding the Company’s capital deployment plans, including anticipated annual dividend rates and share repurchase plans, and statements that can be identified by the use of forward-looking terminology such as "may," “can,” “could,” “if,” "continue," “assumes,” “embed,” “compound,” “contribute,” “differ,” "should," "expect," “confidence,” “conviction,” “trends,” “anticipate,” "estimate," “future,” “plan,” “potential,” “opportunities,” “ahead,” “create,” “build,” “fuel,” “deliver,” “ignite,” “grow,” “believe,” “will,” “would,” “uncertain,” “achieve,” “strategic,” “growth,” "guidance," "forecast," “outlook,” “commit,” “innovation,” “drive,” “leverage,” “generate,” “effort,” “approaching,” “expanding,” “advancing,” “deepening,” “reinforce,” “underpin,” “lasting,” “elevate,” “long-term,” “durable growth,” “durability,” “Amplify strategy,” “we stretch what’s possible,” similar expressions, and variations or negatives of these words. They include, without limitation, statements regarding future anticipated capital expenditures. Future results may differ materially from management's current expectations, based upon a number of important factors, including risks and uncertainties such as economic conditions, recession and inflationary measures, the impact of international trade disputes and the risks associated with potential changes to international trade and policy agreements, including the imposition or threat of imposition of new or increased tariffs or retaliatory tariffs implemented by countries where our manufacturers are located as well as the imposition of additional duties on the products we import, risks associated with operating in international markets, including currency fluctuations and changes in economic or political conditions in the markets where we sell or source our products, the ability to anticipate consumer preferences and retain the value of our brands and respond to changing fashion and retail trends in a timely manner, including our ability to execute on our e-commerce and digital strategies, the impact of tax and other legislation, the ability to successfully implement the initiatives under our Amplify strategy, the effect of existing and new competition in the marketplace, our ability to successfully identify and implement any sales, acquisitions or strategic transactions on attractive terms or at all, our ability to achieve intended benefits, cost savings and synergies from acquisitions, our ability to control costs, the effect of seasonal and quarterly fluctuations on our sales or operating results, the risks associated with cyber security threats, privacy or data security breaches, and the development, use, governance and regulation of artificial intelligence technologies, our ability to satisfy our outstanding debt obligations or incur additional indebtedness, the risks associated with climate change and other corporate responsibility issues, our ability to protect against infringement of our trademarks and other proprietary rights, and the impact of pending and potential future legal proceedings, etc. In addition, purchases of shares of the Company’s common stock will be made subject to market conditions and at prevailing market prices. Please refer to the Company’s latest Annual Report on Form 10-K and its other filings with the Securities and Exchange Commission for a complete list of risks and important factors. The Company assumes no obligation to revise or update any such forward-looking statements for any reason, except as required by law.</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Management utilizes non-GAAP and constant currency measures to conduct and evaluate its business during its regular review of operating results for the periods affected and to make decisions about Company resources and performance. The Company believes presenting these non-GAAP measures, which exclude items affecting comparability, is useful to investors and others in evaluating the Company’s ongoing operating and financial results in a manner that is consistent with management’s evaluation of business performance and in understanding how such results compare with the Company’s historical performance. Additionally, the Company believes presenting these metrics on a constant currency basis will help investors and analysts to understand the effect of significant year-over-year foreign currency exchange rate fluctuations on these performance measures and provide a framework to assess how business is performing and expected to perform excluding these effects.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Company reports information in accordance with U.S. Generally Accepted Accounting Principles ("GAAP"). The Company's management does not, nor does it suggest that investors should, consider non-GAAP financial measures in isolation from, or as a substitute for, financial information prepared in accordance with GAAP. Further, the non-GAAP measures utilized by the Company may be unique to the Company, as they may be different from non-GAAP measures used by other companies.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Company operates on a global basis and reports financial results in U.S. dollars in accordance with GAAP. Percentage increases/decreases in net sales for the Company and each segment have been presented both including and excluding currency fluctuation effects from translating foreign-denominated sales into U.S. dollars and compared to the same periods in the prior quarter and fiscal year. The Company calculates constant currency net sales results by translating current period net sales in local currency using the prior year period’s currency conversion rate. Due to the sale of Stuart Weitzman on August 4, 2025, the Company presents pro forma net sales and related growth rates, which exclude Stuart Weitzman’s Net sales from the prior year period. In the Summary of Pro Forma Revenue Information table, Greater China includes mainland China, Taiwan, Hong Kong SAR, and Macao SAR. Other Asia includes Australia, South Korea, Malaysia, Singapore, and other countries primarily within Asia. Other primarily represents royalties earned from the Company's licensing partners and sales in the Middle East.</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Company presents certain non-GAAP measures, including segment operating income (loss), segment SG&amp;A expenses, segment gross profit, SG&amp;A expense ratio, operating margin, Operating Income (loss), Provision for income taxes, Net income (loss) and Net Income (loss) per diluted common share, which exclude items affecting comparability such as Distribution Network Optimization Costs, Acquisition and Divestiture Costs and Organizational Efficiency Costs, as applicable. A reconciliation to the most directly comparable GAAP measures is provided in the tables accompanying this release.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Company also presents Adjusted Free Cash Flow, which is a non-GAAP measure, and is calculated as Net cash provided by (used in) operating activities less Purchases of property and equipment, adjusted for the cash impacts of Items affecting comparability included in operating cash flows related to Distribution Network Optimization Costs, Acquisition and Divestiture Costs and Organizational Efficiency Costs, and Changes in operating assets and liabilities of items affecting comparability. The Company believes that Adjusted Free Cash Flow is an important liquidity measure of the cash that is available after capital expenditures for operational expenses, investment in our business and items affecting comparability. The Company believes that Adjusted Free Cash Flow is useful to investors because it measures the Company’s ability to generate or use cash. Once our business needs and obligations are met, cash can be used to maintain a strong balance sheet, invest in future growth and return capital to stockholders.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Company also presents Leverage Ratio, which is a non-GAAP metric, and is calculated as total debt, which includes Current debt and Long-term debt, divided by Adjusted EBITDA for the trailing twelve months. Adjusted EBITDA is calculated as Net Income (Loss), excluding: Interest expense, net; Provision for income taxes; Depreciation and amortization; Cloud Computing amortization; Share-based compensation; and Items affecting comparability including Distribution Network Optimization Costs, Acquisition and Divestiture Costs, Organizational Efficiency Costs and IEEPA tariff refunds. The Company believes that the Leverage Ratio is an important metric to assess the strength of our balance sheet and credit quality and demonstrates our commitment to maintaining an investment-grade credit rating.</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i w:val="1"/>
          <w:iCs w:val="1"/>
          <w:color w:val="auto"/>
        </w:rPr>
        <w:t>Schedule 1: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For the Quarter Ended September 26, 2026 and September 27,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8"/>
              </w:rPr>
              <w:t>(unaudited)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9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QUARTER ENDED</w:t>
            </w:r>
          </w:p>
        </w:tc>
        <w:tc>
          <w:tcPr>
            <w:tcW w:w="6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September 27, 2025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9"/>
        </w:trPr>
        <w:tc>
          <w:tcPr>
            <w:tcW w:w="79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94"/>
        </w:trPr>
        <w:tc>
          <w:tcPr>
            <w:tcW w:w="79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7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4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vMerge w:val="continue"/>
            <w:shd w:val="clear" w:color="auto" w:fill="CCEEFF"/>
          </w:tcPr>
          <w:p>
            <w:pPr>
              <w:spacing w:after="0"/>
              <w:rPr>
                <w:sz w:val="16"/>
                <w:szCs w:val="16"/>
                <w:color w:val="auto"/>
              </w:rPr>
            </w:pPr>
          </w:p>
        </w:tc>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vMerge w:val="restart"/>
            <w:shd w:val="clear" w:color="auto" w:fill="CCEEFF"/>
          </w:tcPr>
          <w:p>
            <w:pPr>
              <w:spacing w:after="0"/>
              <w:rPr>
                <w:sz w:val="16"/>
                <w:szCs w:val="16"/>
                <w:color w:val="auto"/>
              </w:rPr>
            </w:pPr>
          </w:p>
        </w:tc>
        <w:tc>
          <w:tcPr>
            <w:tcW w:w="10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59"/>
        </w:trPr>
        <w:tc>
          <w:tcPr>
            <w:tcW w:w="7920" w:type="dxa"/>
            <w:vAlign w:val="bottom"/>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9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9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9"/>
        </w:trPr>
        <w:tc>
          <w:tcPr>
            <w:tcW w:w="7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57"/>
        </w:trPr>
        <w:tc>
          <w:tcPr>
            <w:tcW w:w="7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i w:val="1"/>
          <w:iCs w:val="1"/>
          <w:color w:val="auto"/>
        </w:rPr>
        <w:t>Schedule 2: Detail to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DETAIL TO NET SALES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Quarter Ended September 26, 2026 and September 27, 2025</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Constant Currency %</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9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Coach</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w:t>
            </w: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Kate Spade</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1,705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0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16"/>
                <w:szCs w:val="16"/>
                <w:b w:val="1"/>
                <w:bCs w:val="1"/>
                <w:color w:val="auto"/>
              </w:rPr>
              <w:t>Total Tapestry Pro Forma</w:t>
            </w:r>
            <w:r>
              <w:rPr>
                <w:rFonts w:ascii="Times New Roman" w:cs="Times New Roman" w:eastAsia="Times New Roman" w:hAnsi="Times New Roman"/>
                <w:sz w:val="30"/>
                <w:szCs w:val="30"/>
                <w:b w:val="1"/>
                <w:bCs w:val="1"/>
                <w:color w:val="auto"/>
                <w:vertAlign w:val="superscript"/>
              </w:rPr>
              <w:t>1</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1,690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20"/>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Pro Forma Net sales and related growth rates exclude Net sales of the Stuart Weitzman Business on a reported and constant currency basis.</w:t>
      </w:r>
    </w:p>
    <w:p>
      <w:pPr>
        <w:spacing w:after="0" w:line="19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i w:val="1"/>
          <w:iCs w:val="1"/>
          <w:color w:val="auto"/>
        </w:rPr>
        <w:t>Schedules 3 &amp; 4: Consolidated Segment Data and 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GAAP TO NON-GAAP RECONCILIATION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(in millions, except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26, 2026</w:t>
            </w:r>
          </w:p>
        </w:tc>
        <w:tc>
          <w:tcPr>
            <w:tcW w:w="5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96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Distribution Network</w:t>
            </w:r>
          </w:p>
        </w:tc>
        <w:tc>
          <w:tcPr>
            <w:tcW w:w="14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Non-GAAP Basis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Optimization Costs (*)</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(Excluding Items)</w:t>
            </w:r>
          </w:p>
        </w:tc>
        <w:tc>
          <w:tcPr>
            <w:tcW w:w="0" w:type="dxa"/>
            <w:vAlign w:val="bottom"/>
          </w:tcPr>
          <w:p>
            <w:pPr>
              <w:spacing w:after="0"/>
              <w:rPr>
                <w:sz w:val="1"/>
                <w:szCs w:val="1"/>
                <w:color w:val="auto"/>
              </w:rPr>
            </w:pPr>
          </w:p>
        </w:tc>
      </w:tr>
      <w:tr>
        <w:trPr>
          <w:trHeight w:val="203"/>
        </w:trPr>
        <w:tc>
          <w:tcPr>
            <w:tcW w:w="6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Coach</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1,336</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Kate Spade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1,488</w:t>
            </w:r>
          </w:p>
        </w:tc>
        <w:tc>
          <w:tcPr>
            <w:tcW w:w="8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Coach</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746</w:t>
            </w:r>
          </w:p>
        </w:tc>
        <w:tc>
          <w:tcPr>
            <w:tcW w:w="8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Kate Spade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8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1,064</w:t>
            </w:r>
          </w:p>
        </w:tc>
        <w:tc>
          <w:tcPr>
            <w:tcW w:w="8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Coach</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8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Kate Spade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424</w:t>
            </w:r>
          </w:p>
        </w:tc>
        <w:tc>
          <w:tcPr>
            <w:tcW w:w="8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w:t>
            </w:r>
          </w:p>
        </w:tc>
        <w:tc>
          <w:tcPr>
            <w:tcW w:w="8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80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90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Relates primarily to costs to transition from our Ohio fulfillment center to a third-party facility in Pennsylvania.</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Coach</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Kate Spade</w:t>
      </w:r>
    </w:p>
    <w:p>
      <w:pPr>
        <w:ind w:left="180"/>
        <w:spacing w:after="0" w:line="183" w:lineRule="auto"/>
        <w:rPr>
          <w:sz w:val="20"/>
          <w:szCs w:val="20"/>
          <w:color w:val="auto"/>
        </w:rPr>
      </w:pPr>
      <w:r>
        <w:rPr>
          <w:rFonts w:ascii="Times New Roman" w:cs="Times New Roman" w:eastAsia="Times New Roman" w:hAnsi="Times New Roman"/>
          <w:sz w:val="18"/>
          <w:szCs w:val="18"/>
          <w:color w:val="auto"/>
        </w:rPr>
        <w:t>Stuart Weitzman</w:t>
      </w:r>
      <w:r>
        <w:rPr>
          <w:rFonts w:ascii="Times New Roman" w:cs="Times New Roman" w:eastAsia="Times New Roman" w:hAnsi="Times New Roman"/>
          <w:sz w:val="35"/>
          <w:szCs w:val="35"/>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SG&amp;A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Coach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Kate Spade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Stuart Weitzman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SG&amp;A expenses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Coach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Kate Spade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Stuart Weitzman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3" w:lineRule="exact"/>
        <w:rPr>
          <w:sz w:val="20"/>
          <w:szCs w:val="20"/>
          <w:color w:val="auto"/>
        </w:rPr>
      </w:pPr>
    </w:p>
    <w:p>
      <w:pPr>
        <w:ind w:right="1340"/>
        <w:spacing w:after="0" w:line="297" w:lineRule="auto"/>
        <w:rPr>
          <w:sz w:val="20"/>
          <w:szCs w:val="20"/>
          <w:color w:val="auto"/>
        </w:rPr>
      </w:pPr>
      <w:r>
        <w:rPr>
          <w:rFonts w:ascii="Times New Roman" w:cs="Times New Roman" w:eastAsia="Times New Roman" w:hAnsi="Times New Roman"/>
          <w:sz w:val="18"/>
          <w:szCs w:val="18"/>
          <w:b w:val="1"/>
          <w:bCs w:val="1"/>
          <w:color w:val="auto"/>
        </w:rPr>
        <w:t>Provision for income taxes Net income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diluted common share</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w:t>
      </w:r>
    </w:p>
    <w:p>
      <w:pPr>
        <w:spacing w:after="0" w:line="3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7"/>
          <w:szCs w:val="17"/>
          <w:b w:val="1"/>
          <w:bCs w:val="1"/>
          <w:u w:val="single" w:color="auto"/>
          <w:color w:val="auto"/>
        </w:rPr>
        <w:t>GAAP TO NON-GAAP RECONCILIATION</w:t>
      </w:r>
    </w:p>
    <w:p>
      <w:pPr>
        <w:spacing w:after="0" w:line="2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8"/>
          <w:szCs w:val="18"/>
          <w:b w:val="1"/>
          <w:bCs w:val="1"/>
          <w:u w:val="single" w:color="auto"/>
          <w:color w:val="auto"/>
        </w:rPr>
        <w:t>(in millions, except per share data)</w:t>
      </w:r>
    </w:p>
    <w:p>
      <w:pPr>
        <w:spacing w:after="0" w:line="9"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16"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8"/>
          <w:szCs w:val="18"/>
          <w:b w:val="1"/>
          <w:bCs w:val="1"/>
          <w:color w:val="auto"/>
        </w:rPr>
        <w:t>For the Quarter Ended 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19685</wp:posOffset>
            </wp:positionV>
            <wp:extent cx="4191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-125095</wp:posOffset>
            </wp:positionV>
            <wp:extent cx="4191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1"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8"/>
          <w:szCs w:val="18"/>
          <w:b w:val="1"/>
          <w:bCs w:val="1"/>
          <w:color w:val="auto"/>
        </w:rPr>
        <w:t>Items Affecting Comparability</w:t>
      </w:r>
    </w:p>
    <w:p>
      <w:pPr>
        <w:spacing w:after="0" w:line="23"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208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Organizational Efficiency</w:t>
            </w: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Non-GAAP Basis</w:t>
            </w:r>
          </w:p>
        </w:tc>
        <w:tc>
          <w:tcPr>
            <w:tcW w:w="6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Divestiture Costs (*)</w:t>
            </w:r>
          </w:p>
        </w:tc>
        <w:tc>
          <w:tcPr>
            <w:tcW w:w="340" w:type="dxa"/>
            <w:vAlign w:val="bottom"/>
          </w:tcPr>
          <w:p>
            <w:pPr>
              <w:spacing w:after="0"/>
              <w:rPr>
                <w:sz w:val="20"/>
                <w:szCs w:val="20"/>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Costs (**)</w:t>
            </w: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407"/>
        </w:trPr>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16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Pr>
          <w:p>
            <w:pPr>
              <w:spacing w:after="0"/>
              <w:rPr>
                <w:sz w:val="19"/>
                <w:szCs w:val="19"/>
                <w:color w:val="auto"/>
              </w:rPr>
            </w:pPr>
          </w:p>
        </w:tc>
      </w:tr>
      <w:tr>
        <w:trPr>
          <w:trHeight w:val="62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24"/>
                <w:szCs w:val="24"/>
                <w:color w:val="auto"/>
              </w:rPr>
            </w:pPr>
          </w:p>
        </w:tc>
        <w:tc>
          <w:tcPr>
            <w:tcW w:w="16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6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60" w:type="dxa"/>
            <w:vAlign w:val="bottom"/>
          </w:tcPr>
          <w:p>
            <w:pPr>
              <w:spacing w:after="0"/>
              <w:rPr>
                <w:sz w:val="19"/>
                <w:szCs w:val="19"/>
                <w:color w:val="auto"/>
              </w:rPr>
            </w:pPr>
          </w:p>
        </w:tc>
      </w:tr>
      <w:tr>
        <w:trPr>
          <w:trHeight w:val="62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24"/>
                <w:szCs w:val="24"/>
                <w:color w:val="auto"/>
              </w:rPr>
            </w:pPr>
          </w:p>
        </w:tc>
        <w:tc>
          <w:tcPr>
            <w:tcW w:w="16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6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19"/>
                <w:szCs w:val="19"/>
                <w:color w:val="auto"/>
              </w:rPr>
            </w:pPr>
          </w:p>
        </w:tc>
      </w:tr>
      <w:tr>
        <w:trPr>
          <w:trHeight w:val="40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16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6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4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r>
      <w:tr>
        <w:trPr>
          <w:trHeight w:val="250"/>
        </w:trPr>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-3693795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-3419475</wp:posOffset>
            </wp:positionV>
            <wp:extent cx="71323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-3076575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-2794000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-2519680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-2236470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-1936750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-1662430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-1388110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-1087755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-805180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-530860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-205105</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540"/>
            <w:col w:w="7320"/>
          </w:cols>
          <w:pgMar w:left="320" w:top="266" w:right="339" w:bottom="1440" w:gutter="0" w:footer="0" w:header="0"/>
        </w:sectPr>
      </w:pPr>
    </w:p>
    <w:p>
      <w:pPr>
        <w:spacing w:after="0" w:line="38" w:lineRule="exact"/>
        <w:rPr>
          <w:sz w:val="20"/>
          <w:szCs w:val="20"/>
          <w:color w:val="auto"/>
        </w:rPr>
      </w:pPr>
    </w:p>
    <w:p>
      <w:pPr>
        <w:ind w:right="240" w:firstLine="8"/>
        <w:spacing w:after="0" w:line="195" w:lineRule="auto"/>
        <w:tabs>
          <w:tab w:leader="none" w:pos="12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first quarter of fiscal 2026, prior to the completion of the sale on August 4, 2025, Stuart Weitzman Net sales were $15 million and Cost of sales were $7 million.</w:t>
      </w:r>
    </w:p>
    <w:p>
      <w:pPr>
        <w:spacing w:after="0" w:line="1" w:lineRule="exact"/>
        <w:rPr>
          <w:rFonts w:ascii="Times New Roman" w:cs="Times New Roman" w:eastAsia="Times New Roman" w:hAnsi="Times New Roman"/>
          <w:sz w:val="30"/>
          <w:szCs w:val="30"/>
          <w:color w:val="auto"/>
          <w:vertAlign w:val="superscript"/>
        </w:rPr>
      </w:pPr>
    </w:p>
    <w:p>
      <w:pPr>
        <w:ind w:right="3100"/>
        <w:spacing w:after="0" w:line="29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7"/>
          <w:szCs w:val="17"/>
          <w:color w:val="auto"/>
        </w:rPr>
        <w:t>(*) Relates to costs incurred by the Company in connection with the divestiture of the Stuart Weitzman Business. (**) Relates to organizational efficiency costs, primarily related to technology costs and severance costs.</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i w:val="1"/>
          <w:iCs w:val="1"/>
          <w:color w:val="auto"/>
        </w:rPr>
        <w:t>Schedule 5: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At September 26, 2026 and June 27, 2026</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0" w:type="dxa"/>
            <w:vAlign w:val="bottom"/>
          </w:tcPr>
          <w:p>
            <w:pPr>
              <w:spacing w:after="0"/>
              <w:rPr>
                <w:sz w:val="1"/>
                <w:szCs w:val="1"/>
                <w:color w:val="auto"/>
              </w:rPr>
            </w:pPr>
          </w:p>
        </w:tc>
      </w:tr>
      <w:tr>
        <w:trPr>
          <w:trHeight w:val="439"/>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920" w:type="dxa"/>
            <w:vAlign w:val="bottom"/>
            <w:gridSpan w:val="5"/>
          </w:tcPr>
          <w:p>
            <w:pPr>
              <w:ind w:left="222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27, 2026</w:t>
            </w:r>
          </w:p>
        </w:tc>
        <w:tc>
          <w:tcPr>
            <w:tcW w:w="0" w:type="dxa"/>
            <w:vAlign w:val="bottom"/>
          </w:tcPr>
          <w:p>
            <w:pPr>
              <w:spacing w:after="0"/>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40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vMerge w:val="continue"/>
            <w:shd w:val="clear" w:color="auto" w:fill="CCEEFF"/>
          </w:tcPr>
          <w:p>
            <w:pPr>
              <w:spacing w:after="0"/>
              <w:rPr>
                <w:sz w:val="21"/>
                <w:szCs w:val="21"/>
                <w:color w:val="auto"/>
              </w:rPr>
            </w:pPr>
          </w:p>
        </w:tc>
        <w:tc>
          <w:tcPr>
            <w:tcW w:w="240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00" w:type="dxa"/>
            <w:vAlign w:val="bottom"/>
            <w:vMerge w:val="continue"/>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vMerge w:val="continue"/>
          </w:tcPr>
          <w:p>
            <w:pPr>
              <w:spacing w:after="0"/>
              <w:rPr>
                <w:sz w:val="21"/>
                <w:szCs w:val="21"/>
                <w:color w:val="auto"/>
              </w:rPr>
            </w:pPr>
          </w:p>
        </w:tc>
        <w:tc>
          <w:tcPr>
            <w:tcW w:w="24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6: Condensed 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w:t>
      </w:r>
    </w:p>
    <w:p>
      <w:pPr>
        <w:spacing w:after="0" w:line="31" w:lineRule="exact"/>
        <w:rPr>
          <w:sz w:val="20"/>
          <w:szCs w:val="20"/>
          <w:color w:val="auto"/>
        </w:rPr>
      </w:pPr>
    </w:p>
    <w:p>
      <w:pPr>
        <w:jc w:val="center"/>
        <w:ind w:left="440" w:right="27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 For the Three Months Ended September 26, 2026 and September 27, 2025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439"/>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2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9"/>
                <w:szCs w:val="19"/>
                <w:color w:val="auto"/>
              </w:rPr>
            </w:pP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business, net of cash divested</w:t>
            </w:r>
          </w:p>
        </w:tc>
        <w:tc>
          <w:tcPr>
            <w:tcW w:w="200" w:type="dxa"/>
            <w:vAlign w:val="bottom"/>
          </w:tcPr>
          <w:p>
            <w:pPr>
              <w:spacing w:after="0"/>
              <w:rPr>
                <w:sz w:val="18"/>
                <w:szCs w:val="18"/>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items</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79" w:right="339" w:bottom="1440" w:gutter="0" w:footer="0" w:header="0"/>
        </w:sectPr>
      </w:pPr>
    </w:p>
    <w:p>
      <w:pPr>
        <w:ind w:left="180" w:right="1620" w:hanging="161"/>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CASH FLOWS PROVIDED BY (USED IN) FINANCING ACTIVITIES </w:t>
      </w:r>
      <w:r>
        <w:rPr>
          <w:rFonts w:ascii="Times New Roman" w:cs="Times New Roman" w:eastAsia="Times New Roman" w:hAnsi="Times New Roman"/>
          <w:sz w:val="18"/>
          <w:szCs w:val="18"/>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from/(Repayments of) commercial paper,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(603)</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16"/>
        </w:trPr>
        <w:tc>
          <w:tcPr>
            <w:tcW w:w="1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18"/>
                <w:szCs w:val="18"/>
                <w:color w:val="auto"/>
              </w:rPr>
            </w:pPr>
          </w:p>
        </w:tc>
      </w:tr>
      <w:tr>
        <w:trPr>
          <w:trHeight w:val="248"/>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r>
      <w:tr>
        <w:trPr>
          <w:trHeight w:val="425"/>
        </w:trPr>
        <w:tc>
          <w:tcPr>
            <w:tcW w:w="1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(376)</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w:t>
            </w:r>
          </w:p>
        </w:tc>
      </w:tr>
    </w:tbl>
    <w:p>
      <w:pPr>
        <w:spacing w:after="0" w:line="1" w:lineRule="exact"/>
        <w:rPr>
          <w:sz w:val="20"/>
          <w:szCs w:val="20"/>
          <w:color w:val="auto"/>
        </w:rPr>
      </w:pPr>
    </w:p>
    <w:p>
      <w:pPr>
        <w:sectPr>
          <w:pgSz w:w="11900" w:h="16838" w:orient="portrait"/>
          <w:cols w:equalWidth="0" w:num="2">
            <w:col w:w="7200" w:space="720"/>
            <w:col w:w="332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6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50"/>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580" w:type="dxa"/>
            <w:vAlign w:val="bottom"/>
            <w:gridSpan w:val="2"/>
          </w:tcPr>
          <w:p>
            <w:pPr>
              <w:jc w:val="right"/>
              <w:ind w:right="4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21"/>
                <w:szCs w:val="21"/>
                <w:color w:val="auto"/>
              </w:rPr>
            </w:pPr>
          </w:p>
        </w:tc>
      </w:tr>
      <w:tr>
        <w:trPr>
          <w:trHeight w:val="20"/>
        </w:trPr>
        <w:tc>
          <w:tcPr>
            <w:tcW w:w="7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i w:val="1"/>
          <w:iCs w:val="1"/>
          <w:color w:val="auto"/>
        </w:rPr>
        <w:t>Schedule 7: Adjusted Free Cash Flow 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ADJUSTED FREE CASH FLOW</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GAAP TO NON-GAAP RECONCILIATION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For the Quarter Ended September 26, 2026 and September 27, 2025</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(in millions)</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92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September 27, 2025</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 (GAAP)</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Items affecting comparability - Acquisition and Divestiture Costs</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Items affecting comparability - Organizational Efficiency Costs</w:t>
            </w:r>
          </w:p>
        </w:tc>
        <w:tc>
          <w:tcPr>
            <w:tcW w:w="5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Items affecting comparability - Distribution Network Optimization Costs</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 of items affecting comparability</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7920" w:type="dxa"/>
            <w:vAlign w:val="bottom"/>
          </w:tcPr>
          <w:p>
            <w:pPr>
              <w:ind w:left="280"/>
              <w:spacing w:after="0" w:line="297"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34"/>
                <w:szCs w:val="34"/>
                <w:color w:val="auto"/>
                <w:vertAlign w:val="superscript"/>
              </w:rPr>
              <w:t>1</w:t>
            </w:r>
          </w:p>
        </w:tc>
        <w:tc>
          <w:tcPr>
            <w:tcW w:w="56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(Non-GAAP)</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Adjusted Free Cash Flow is calculated as Net cash provided by (used in) operating activities less Purchases of property and equipment, adjusted for the cash impacts of Items affecting comparability included in operating cash flows related to Acquisition and Divestiture Costs, Organizational Efficiency Costs and Distribution Network Optimization Costs, and Changes in operating assets and liabilities of items affecting comparability.</w:t>
      </w:r>
    </w:p>
    <w:p>
      <w:pPr>
        <w:spacing w:after="0" w:line="105"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Primarily relates to the cash collection of the IEEPA tariff refund.</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8: Adjusted EBITDA and Leverage Ratio 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TAPESTRY,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ADJUSTED EBITDA for the Trailing Twelve Months ("TTM") ended on September 26, 2026, and LEVERAGE RATIO as of September 26,</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2026</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GAAP TO NON-GAAP RECONCILIATION</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(in millions)</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TTM</w:t>
            </w:r>
          </w:p>
        </w:tc>
      </w:tr>
      <w:tr>
        <w:trPr>
          <w:trHeight w:val="209"/>
        </w:trPr>
        <w:tc>
          <w:tcPr>
            <w:tcW w:w="3620" w:type="dxa"/>
            <w:vAlign w:val="bottom"/>
          </w:tcPr>
          <w:p>
            <w:pPr>
              <w:spacing w:after="0"/>
              <w:rPr>
                <w:sz w:val="18"/>
                <w:szCs w:val="18"/>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4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3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27, 2026</w:t>
            </w: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September 26, 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September 26, 2026</w:t>
            </w:r>
          </w:p>
        </w:tc>
        <w:tc>
          <w:tcPr>
            <w:tcW w:w="10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 (GAAP)</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6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3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6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198"/>
        </w:trPr>
        <w:tc>
          <w:tcPr>
            <w:tcW w:w="3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Items affecting comparability - Acquisition</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Divestiture Costs</w:t>
            </w:r>
          </w:p>
        </w:tc>
        <w:tc>
          <w:tcPr>
            <w:tcW w:w="6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3620" w:type="dxa"/>
            <w:vAlign w:val="bottom"/>
            <w:tcBorders>
              <w:right w:val="single" w:sz="8" w:color="CCEEFF"/>
            </w:tcBorders>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Items affecting comparability - Organizational</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6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Efficiency Costs</w:t>
            </w:r>
          </w:p>
        </w:tc>
        <w:tc>
          <w:tcPr>
            <w:tcW w:w="6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Items affecting comparability - IEEPA</w:t>
            </w:r>
          </w:p>
        </w:tc>
        <w:tc>
          <w:tcPr>
            <w:tcW w:w="6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6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198"/>
        </w:trPr>
        <w:tc>
          <w:tcPr>
            <w:tcW w:w="3620" w:type="dxa"/>
            <w:vAlign w:val="bottom"/>
            <w:tcBorders>
              <w:right w:val="single" w:sz="8" w:color="CCEEFF"/>
            </w:tcBorders>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Items affecting comparability - Distribution</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6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Network Optimization Costs</w:t>
            </w:r>
          </w:p>
        </w:tc>
        <w:tc>
          <w:tcPr>
            <w:tcW w:w="6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6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r>
      <w:tr>
        <w:trPr>
          <w:trHeight w:val="20"/>
        </w:trPr>
        <w:tc>
          <w:tcPr>
            <w:tcW w:w="3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6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Debt (**) as of September 26, 2026</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2,557</w:t>
            </w:r>
          </w:p>
        </w:tc>
      </w:tr>
      <w:tr>
        <w:trPr>
          <w:trHeight w:val="194"/>
        </w:trPr>
        <w:tc>
          <w:tcPr>
            <w:tcW w:w="362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Leverage Ratio (***) as of September 26,</w:t>
            </w: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both"/>
        <w:ind w:right="420" w:firstLine="8"/>
        <w:spacing w:after="0" w:line="257"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calculated as Net Income (Loss), excluding Interest expense, net; Provision for income taxes; Depreciation and amortization; Cloud computing amortization; Share-based compensation; Items affecting comparability including Acquisition and Divestiture Costs, Organizational Efficiency Costs, IEEPA, and Distribution Network Optimization Costs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Total Debt Includes Current debt and Long-term debt as of September 26, 2026</w:t>
      </w:r>
    </w:p>
    <w:p>
      <w:pPr>
        <w:spacing w:after="0" w:line="9" w:lineRule="exact"/>
        <w:rPr>
          <w:rFonts w:ascii="Times New Roman" w:cs="Times New Roman" w:eastAsia="Times New Roman" w:hAnsi="Times New Roman"/>
          <w:sz w:val="18"/>
          <w:szCs w:val="18"/>
          <w:color w:val="auto"/>
        </w:rPr>
      </w:pPr>
    </w:p>
    <w:p>
      <w:pPr>
        <w:ind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Leverage Ratio is calculated as Total Debt as of September 26, 2026 divided by Adjusted EBITDA for the trailing twelve months ended September 26, 2026</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2"/>
        </w:trPr>
        <w:tc>
          <w:tcPr>
            <w:tcW w:w="4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9: Store Count by Brand</w:t>
            </w: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369"/>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TAPESTRY, INC.</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6"/>
          </w:tcPr>
          <w:p>
            <w:pPr>
              <w:jc w:val="center"/>
              <w:ind w:right="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STORE COUNT</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720" w:type="dxa"/>
            <w:vAlign w:val="bottom"/>
            <w:gridSpan w:val="14"/>
          </w:tcPr>
          <w:p>
            <w:pPr>
              <w:jc w:val="center"/>
              <w:ind w:right="4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At June 27, 2026 and September 26, 2026</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6"/>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8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30"/>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9"/>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Directly-Operated Store Count: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9"/>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June 27, 2026</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Openings</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(Closures)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26, 2026</w:t>
            </w:r>
          </w:p>
        </w:tc>
      </w:tr>
      <w:tr>
        <w:trPr>
          <w:trHeight w:val="169"/>
        </w:trPr>
        <w:tc>
          <w:tcPr>
            <w:tcW w:w="406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Coach</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6"/>
        </w:trPr>
        <w:tc>
          <w:tcPr>
            <w:tcW w:w="4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America</w:t>
            </w:r>
          </w:p>
        </w:tc>
        <w:tc>
          <w:tcPr>
            <w:tcW w:w="1160" w:type="dxa"/>
            <w:vAlign w:val="bottom"/>
            <w:gridSpan w:val="5"/>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336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4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gridSpan w:val="5"/>
          </w:tcPr>
          <w:p>
            <w:pPr>
              <w:jc w:val="center"/>
              <w:ind w:left="670"/>
              <w:spacing w:after="0"/>
              <w:rPr>
                <w:sz w:val="20"/>
                <w:szCs w:val="20"/>
                <w:color w:val="auto"/>
              </w:rPr>
            </w:pPr>
            <w:r>
              <w:rPr>
                <w:rFonts w:ascii="Times New Roman" w:cs="Times New Roman" w:eastAsia="Times New Roman" w:hAnsi="Times New Roman"/>
                <w:sz w:val="18"/>
                <w:szCs w:val="18"/>
                <w:color w:val="auto"/>
              </w:rPr>
              <w:t>637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644</w:t>
            </w:r>
          </w:p>
        </w:tc>
      </w:tr>
      <w:tr>
        <w:trPr>
          <w:trHeight w:val="209"/>
        </w:trPr>
        <w:tc>
          <w:tcPr>
            <w:tcW w:w="406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Coach</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973</w:t>
            </w: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983</w:t>
            </w: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6"/>
        </w:trPr>
        <w:tc>
          <w:tcPr>
            <w:tcW w:w="9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Kate Spade</w:t>
            </w:r>
          </w:p>
        </w:tc>
        <w:tc>
          <w:tcPr>
            <w:tcW w:w="3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216"/>
        </w:trPr>
        <w:tc>
          <w:tcPr>
            <w:tcW w:w="4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North America</w:t>
            </w:r>
          </w:p>
        </w:tc>
        <w:tc>
          <w:tcPr>
            <w:tcW w:w="1160" w:type="dxa"/>
            <w:vAlign w:val="bottom"/>
            <w:gridSpan w:val="5"/>
          </w:tcPr>
          <w:p>
            <w:pPr>
              <w:jc w:val="center"/>
              <w:ind w:left="670"/>
              <w:spacing w:after="0"/>
              <w:rPr>
                <w:sz w:val="20"/>
                <w:szCs w:val="20"/>
                <w:color w:val="auto"/>
              </w:rPr>
            </w:pPr>
            <w:r>
              <w:rPr>
                <w:rFonts w:ascii="Times New Roman" w:cs="Times New Roman" w:eastAsia="Times New Roman" w:hAnsi="Times New Roman"/>
                <w:sz w:val="18"/>
                <w:szCs w:val="18"/>
                <w:color w:val="auto"/>
              </w:rPr>
              <w:t>178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0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gridSpan w:val="5"/>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148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r>
      <w:tr>
        <w:trPr>
          <w:trHeight w:val="232"/>
        </w:trPr>
        <w:tc>
          <w:tcPr>
            <w:tcW w:w="40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Kate Spade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Borders>
              <w:top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326</w:t>
            </w: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318</w:t>
            </w:r>
          </w:p>
        </w:tc>
      </w:tr>
    </w:tbl>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bullet"/>
      <w:start w:val="1"/>
    </w:lvl>
  </w:abstractNum>
  <w:abstractNum w:abstractNumId="20">
    <w:nsid w:val="721DA317"/>
    <w:multiLevelType w:val="hybridMultilevel"/>
    <w:lvl w:ilvl="0">
      <w:lvlJc w:val="left"/>
      <w:lvlText w:val="1"/>
      <w:numFmt w:val="bullet"/>
      <w:start w:val="1"/>
    </w:lvl>
  </w:abstractNum>
  <w:abstractNum w:abstractNumId="21">
    <w:nsid w:val="2443A858"/>
    <w:multiLevelType w:val="hybridMultilevel"/>
    <w:lvl w:ilvl="0">
      <w:lvlJc w:val="left"/>
      <w:lvlText w:val="1"/>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2026-11-05T05:47:04Z</dcterms:created>
  <dcterms:modified xsi:type="dcterms:W3CDTF">2026-11-05T05:47:04Z</dcterms:modified>
</cp:coreProperties>
</file>