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102235</wp:posOffset>
            </wp:positionV>
            <wp:extent cx="321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76835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8" w:lineRule="exact"/>
        <w:rPr>
          <w:sz w:val="24"/>
          <w:szCs w:val="24"/>
          <w:color w:val="auto"/>
        </w:rPr>
      </w:pPr>
    </w:p>
    <w:p>
      <w:pPr>
        <w:ind w:left="3620" w:right="900" w:hanging="2762"/>
        <w:spacing w:after="0" w:line="315" w:lineRule="auto"/>
        <w:tabs>
          <w:tab w:leader="none" w:pos="1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27,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jc w:val="center"/>
        <w:ind w:left="4380" w:right="880" w:hanging="3528"/>
        <w:spacing w:after="0" w:line="349" w:lineRule="auto"/>
        <w:tabs>
          <w:tab w:leader="none" w:pos="11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26035</wp:posOffset>
            </wp:positionV>
            <wp:extent cx="321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301" w:right="339" w:bottom="1440" w:gutter="0" w:footer="0" w:header="0"/>
        </w:sectPr>
      </w:pPr>
    </w:p>
    <w:p>
      <w:pPr>
        <w:spacing w:after="0" w:line="10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4"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59" w:lineRule="exact"/>
        <w:rPr>
          <w:sz w:val="24"/>
          <w:szCs w:val="24"/>
          <w:color w:val="auto"/>
        </w:rPr>
      </w:pPr>
    </w:p>
    <w:p>
      <w:pPr>
        <w:sectPr>
          <w:pgSz w:w="11900" w:h="16838" w:orient="portrait"/>
          <w:cols w:equalWidth="0" w:num="2">
            <w:col w:w="6140" w:space="720"/>
            <w:col w:w="4380"/>
          </w:cols>
          <w:pgMar w:left="320" w:top="13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104140</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28"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firstLine="162"/>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22" w:lineRule="exact"/>
        <w:rPr>
          <w:sz w:val="24"/>
          <w:szCs w:val="24"/>
          <w:color w:val="auto"/>
        </w:rPr>
      </w:pPr>
    </w:p>
    <w:p>
      <w:pPr>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w:t>
      </w:r>
    </w:p>
    <w:p>
      <w:pPr>
        <w:spacing w:after="0" w:line="112"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1" w:right="339" w:bottom="1440" w:gutter="0" w:footer="0" w:header="0"/>
          <w:type w:val="continuous"/>
        </w:sectPr>
      </w:pPr>
    </w:p>
    <w:p>
      <w:pPr>
        <w:spacing w:after="0" w:line="124" w:lineRule="exact"/>
        <w:rPr>
          <w:sz w:val="24"/>
          <w:szCs w:val="24"/>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2" w:lineRule="exact"/>
        <w:rPr>
          <w:sz w:val="24"/>
          <w:szCs w:val="24"/>
          <w:color w:val="auto"/>
        </w:rPr>
      </w:pPr>
    </w:p>
    <w:p>
      <w:pPr>
        <w:sectPr>
          <w:pgSz w:w="11900" w:h="16838" w:orient="portrait"/>
          <w:cols w:equalWidth="0" w:num="8">
            <w:col w:w="1800" w:space="660"/>
            <w:col w:w="160" w:space="220"/>
            <w:col w:w="1720" w:space="720"/>
            <w:col w:w="160" w:space="220"/>
            <w:col w:w="1760" w:space="720"/>
            <w:col w:w="160" w:space="220"/>
            <w:col w:w="1780" w:space="680"/>
            <w:col w:w="260"/>
          </w:cols>
          <w:pgMar w:left="320" w:top="1301" w:right="339" w:bottom="1440" w:gutter="0" w:footer="0" w:header="0"/>
          <w:type w:val="continuous"/>
        </w:sectPr>
      </w:pPr>
    </w:p>
    <w:p>
      <w:pPr>
        <w:ind w:right="20" w:firstLine="162"/>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On October 24, 2025, the Registrant had 204,649,752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101600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76200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09"/>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 (unaudited)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6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27</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000" w:type="dxa"/>
            <w:vAlign w:val="bottom"/>
            <w:gridSpan w:val="4"/>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0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41</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7400" w:type="dxa"/>
            <w:vAlign w:val="bottom"/>
            <w:gridSpan w:val="12"/>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3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43</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r>
      <w:tr>
        <w:trPr>
          <w:trHeight w:val="979"/>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 References to "Coach," "Kate Spade" or "kate spade new york" refer only to the referenced brand.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"guidance," "forecast," "outlook," "commit," "innovation," "drive," "leverage," "generate," "enhance," "effort," "progress," "amplify," "we can stretch what’s possible," similar expressions, and variations or negatives of these words. They include, without limitation, statements regarding future anticipated capital expenditures.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(ii) the impact of economic conditions, recession and inflationary measures;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the impact of tax and other legislation; (vi) the ability to successfully implement the initiatives under our 2028 Amplify growth strategy; (vii) the effect of existing and new competition in the marketplace; (viii) our ability to successfully identify and implement any sales, acquisitions or strategic transactions on attractive terms or at all, including our recently completed sale of the Stuart Weitzman Business; (ix) our ability to achieve intended benefits, cost savings and synergies from acquisitions; (x) our ability to control costs;</w:t>
      </w:r>
    </w:p>
    <w:p>
      <w:pPr>
        <w:spacing w:after="0" w:line="4" w:lineRule="exact"/>
        <w:rPr>
          <w:sz w:val="20"/>
          <w:szCs w:val="20"/>
          <w:color w:val="auto"/>
        </w:rPr>
      </w:pPr>
    </w:p>
    <w:p>
      <w:pPr>
        <w:jc w:val="both"/>
        <w:ind w:firstLine="8"/>
        <w:spacing w:after="0" w:line="252"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seasonal and quarterly fluctuations on our sales or operating results; (xii) the risk of cyber security threats and privacy or data security breaches;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as set forth in Part II, Item 1A. "Risk Factors" and elsewhere in this report and in the Company’s Annual Report on Form 10-K for the fiscal year ended June 28, 2025. These factors are not necessarily all of the factors that could cause actual results to differ materially from those expressed in any of our forward-looking statements.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629-2618.</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360" w:type="dxa"/>
            <w:vAlign w:val="bottom"/>
          </w:tcPr>
          <w:p>
            <w:pPr>
              <w:spacing w:after="0"/>
              <w:rPr>
                <w:sz w:val="17"/>
                <w:szCs w:val="17"/>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 28,</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$5.8 and $5.7, respectively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$1,236.2 and $1,215.0, 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4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1,718.8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14 on commitments and contingencies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(authorized 1.00 billion shares; $0.01 par value per share) issued and outstanding - 205.7</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and 208.1 million shares, respectively</w:t>
            </w: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91"/>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820" w:top="887" w:right="81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169"/>
        </w:trPr>
        <w:tc>
          <w:tcPr>
            <w:tcW w:w="7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260" w:type="dxa"/>
            <w:vAlign w:val="bottom"/>
          </w:tcPr>
          <w:p>
            <w:pPr>
              <w:spacing w:after="0"/>
              <w:rPr>
                <w:sz w:val="14"/>
                <w:szCs w:val="14"/>
                <w:color w:val="auto"/>
              </w:rPr>
            </w:pPr>
          </w:p>
        </w:tc>
        <w:tc>
          <w:tcPr>
            <w:tcW w:w="12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w w:val="98"/>
              </w:rPr>
              <w:t>September 28,</w:t>
            </w:r>
          </w:p>
        </w:tc>
      </w:tr>
      <w:tr>
        <w:trPr>
          <w:trHeight w:val="241"/>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6"/>
                <w:szCs w:val="16"/>
                <w:color w:val="auto"/>
              </w:rPr>
            </w:pPr>
          </w:p>
        </w:tc>
      </w:tr>
      <w:tr>
        <w:trPr>
          <w:trHeight w:val="191"/>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(losses) on cash flow hedging derivatives,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(losses) on available-for-sale investments, net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171"/>
        </w:trPr>
        <w:tc>
          <w:tcPr>
            <w:tcW w:w="78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307.9</w:t>
            </w:r>
          </w:p>
        </w:tc>
        <w:tc>
          <w:tcPr>
            <w:tcW w:w="100" w:type="dxa"/>
            <w:vAlign w:val="bottom"/>
          </w:tcPr>
          <w:p>
            <w:pPr>
              <w:spacing w:after="0"/>
              <w:rPr>
                <w:sz w:val="14"/>
                <w:szCs w:val="14"/>
                <w:color w:val="auto"/>
              </w:rPr>
            </w:pPr>
          </w:p>
        </w:tc>
        <w:tc>
          <w:tcPr>
            <w:tcW w:w="260" w:type="dxa"/>
            <w:vAlign w:val="bottom"/>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9691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9125" cy="1714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i w:val="1"/>
          <w:iCs w:val="1"/>
          <w:color w:val="auto"/>
        </w:rPr>
        <w:t>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-71755</wp:posOffset>
            </wp:positionV>
            <wp:extent cx="2023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86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4"/>
          </w:tcPr>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260" w:type="dxa"/>
            <w:vAlign w:val="bottom"/>
          </w:tcPr>
          <w:p>
            <w:pPr>
              <w:spacing w:after="0"/>
              <w:rPr>
                <w:sz w:val="14"/>
                <w:szCs w:val="14"/>
                <w:color w:val="auto"/>
              </w:rPr>
            </w:pPr>
          </w:p>
        </w:tc>
        <w:tc>
          <w:tcPr>
            <w:tcW w:w="13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0" w:type="dxa"/>
            <w:vAlign w:val="bottom"/>
          </w:tcPr>
          <w:p>
            <w:pPr>
              <w:spacing w:after="0"/>
              <w:rPr>
                <w:sz w:val="1"/>
                <w:szCs w:val="1"/>
                <w:color w:val="auto"/>
              </w:rPr>
            </w:pPr>
          </w:p>
        </w:tc>
      </w:tr>
      <w:tr>
        <w:trPr>
          <w:trHeight w:val="241"/>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111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bad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to lease related balances,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divested</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dividends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from/(Repayments of) commercial paper,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to net settle share-based awards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finance lease liabilities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activity - property and equipment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Coach and Kate Spade segments include global sales of products to customers through our direct-to-consumer ("DTC"), wholesale and licensing businesses. On August 4, 2025, the Company completed the previously announced sale of the Stuart Weitzman Business (defined below). Refer to Note 5, "Acquisitions and Divestitures," for further information.</w:t>
      </w:r>
    </w:p>
    <w:p>
      <w:pPr>
        <w:spacing w:after="0" w:line="172" w:lineRule="exact"/>
        <w:rPr>
          <w:sz w:val="20"/>
          <w:szCs w:val="20"/>
          <w:color w:val="auto"/>
        </w:rPr>
      </w:pPr>
    </w:p>
    <w:p>
      <w:pPr>
        <w:ind w:left="340" w:right="6800" w:hanging="251"/>
        <w:spacing w:after="0" w:line="377" w:lineRule="auto"/>
        <w:tabs>
          <w:tab w:leader="none" w:pos="27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ORGANIZATION </w:t>
      </w:r>
      <w:r>
        <w:rPr>
          <w:rFonts w:ascii="Times New Roman" w:cs="Times New Roman" w:eastAsia="Times New Roman" w:hAnsi="Times New Roman"/>
          <w:sz w:val="18"/>
          <w:szCs w:val="18"/>
          <w:b w:val="1"/>
          <w:bCs w:val="1"/>
          <w:i w:val="1"/>
          <w:iCs w:val="1"/>
          <w:color w:val="auto"/>
        </w:rPr>
        <w:t>Interim Financial Statements</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28, 2025 ("fiscal 2025") and other filings filed with the SEC.</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three months ended September 27, 2025 are not necessarily indicative of results to be expected for the entire fiscal year, which will end on June 27, 2026 ("fiscal 2026").</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2026 will be a 52-week period. Fiscal 2025, which ended on June 28, 2025, was also a 52-week period. The first quarter of fiscal 2026 which ended on September 27, 2025 and the first quarter of fiscal 2025 which ended on September 28, 2024, both of which were 13-week periods.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share-based compensation awards and related expected forfeiture rates; reserves for restructuring; and reserves for litigation and other contingencies, amongst others.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 the entity or receive the expected returns of the entity and substantially all of the entity’s activities involve or are conducted on behalf of the investor with disproportionately few voting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(accumulated deficit).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accrues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is recorded in Retained earnings (accumulated deficit) as part of Stockholders' Equity.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September 27, 2025 and June 28, 2025, $333.4 million and $272.8 million, respectively, was related to suppliers eligible to participate in the Company's SCF program and presented within Accounts payable on the Condensed Consolidated Balance Sheets.</w:t>
      </w:r>
    </w:p>
    <w:p>
      <w:pPr>
        <w:spacing w:after="0" w:line="185" w:lineRule="exact"/>
        <w:rPr>
          <w:sz w:val="20"/>
          <w:szCs w:val="20"/>
          <w:color w:val="auto"/>
        </w:rPr>
      </w:pPr>
    </w:p>
    <w:p>
      <w:pPr>
        <w:ind w:left="340" w:right="7080" w:hanging="251"/>
        <w:spacing w:after="0" w:line="400" w:lineRule="auto"/>
        <w:tabs>
          <w:tab w:leader="none" w:pos="277"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Pronouncements</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which modernizes the accounting for the costs of software developed for internal use and clarifies related disclosure requirements. The amendments remove all references to software development stages, requiring companies to start capitalizing software costs when (i) management has authorized and committed to funding the software project and (ii) it is probable that the project will be completed and the software will be used to perform the function intended. The amendments will be effective for the Company's annual reporting periods beginning in fiscal year 2029 and for interim periods within fiscal year 2029. Early adoption is permitted. The amendments may be applied either prospectively or retrospectively. The Company is currently evaluating the ASU to determine its impact on its condensed consolidated financial statements and notes thereto.</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Direct-to-consumer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three months ended September 27,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27, 2025</w:t>
            </w:r>
          </w:p>
        </w:tc>
        <w:tc>
          <w:tcPr>
            <w:tcW w:w="9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869.1</w:t>
            </w:r>
          </w:p>
        </w:tc>
        <w:tc>
          <w:tcPr>
            <w:tcW w:w="1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1,429.8</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28, 2024</w:t>
            </w:r>
          </w:p>
        </w:tc>
        <w:tc>
          <w:tcPr>
            <w:tcW w:w="9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Coach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14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Malaysia, Australia, South Korea, Singapore, and other countries primarily within Asia.</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and the Middle East as well as royalties earned from the Company's licensing partners.</w:t>
      </w:r>
    </w:p>
    <w:p>
      <w:pPr>
        <w:spacing w:after="0" w:line="8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September 27, 2025 and June 28, 2025 was $47.4 million and $38.0 million, respectively, which were primarily recorded within Accrued liabilities on the Company's Condensed Consolidated Balance Sheets and are generally expected to be recognized as revenue within a year. For the three months ended September 27, 2025, net sales of $2.5 million were recognized from amounts recorded as deferred revenue as of June 28, 2025. For the three months ended September 28, 2024, net sales of $12.7 million were recognized from amounts recorded as deferred revenue as of June 29,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5. ACQUISITIONS AND DIVESTITURES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was subject to customary adjustments for cash, indebtedness, net working capital and transaction expenses. The sale was completed on August 4, 2025 (the "Stuart Weitzman Business Divestiture").</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previously classified certain assets and liabilities related to the Company's Stuart Weitzman Business as held for sale. The Stuart Weitzman Business Divestiture did not represent a strategic shift that will have a major effect on the Company's operations and financial results and therefore did not qualify for presentation as a discontinued operation. The Stuart Weitzman Business Divestiture resulted in a final total pre-tax loss of $22.6 million, which represented the amount of the carrying value of the net assets over the amount of consideration received, less costs to sell. Of the final total pre-tax loss, $4.0 million and $18.6 million, respectively, were recorded in the three months ended September 27, 2025 and the fiscal year ended June 28, 2025.</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27, 2025, the Company incurred total pre-tax charges related to the Stuart Weitzman Business Divestiture of $14.7 million primarily due to professional fees and severance costs which were recorded in selling, general and administrative ("SG&amp;A") expenses mainly within the Corporate segment on the Company's Condensed Consolidated Statements of Operations.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plus accrued and unpaid interest to, but excluding, the date of redemption (such redemption, the “Special Mandatory Redemption”). In addition, the Capri Acquisition Term Loan Facilities were terminated concurrently with the execution of the Termination Agreement on November 13, 2024. Refer to Note 11, "Debt," for further information on our debt instruments related to the Capri Acquisition.</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expenses incurred during the three months ended September 27, 2025 in conjunction with the Capri Acquisition.</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Capri Acquisition, during the three months ended September 28, 2024, the Company incurred $70.8 million in pre-tax expenses primarily related to financing-related expenses and professional fees.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right="6980" w:hanging="332"/>
        <w:spacing w:after="0" w:line="378" w:lineRule="auto"/>
        <w:tabs>
          <w:tab w:leader="none" w:pos="1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Kate Spade</w:t>
            </w:r>
            <w:r>
              <w:rPr>
                <w:rFonts w:ascii="Times New Roman" w:cs="Times New Roman" w:eastAsia="Times New Roman" w:hAnsi="Times New Roman"/>
                <w:sz w:val="23"/>
                <w:szCs w:val="23"/>
                <w:b w:val="1"/>
                <w:bCs w:val="1"/>
                <w:color w:val="auto"/>
                <w:w w:val="95"/>
                <w:vertAlign w:val="superscript"/>
              </w:rPr>
              <w:t>(1)</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2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r>
      <w:tr>
        <w:trPr>
          <w:trHeight w:val="230"/>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27, 2025</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975.4</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220" w:type="dxa"/>
            <w:vAlign w:val="bottom"/>
            <w:tcBorders>
              <w:bottom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41"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$244.1 million as of September 27, 2025 and June 28, 2025.</w:t>
      </w:r>
    </w:p>
    <w:p>
      <w:pPr>
        <w:spacing w:after="0" w:line="85"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5"/>
                <w:szCs w:val="1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20" w:hanging="332"/>
        <w:spacing w:after="0" w:line="229" w:lineRule="auto"/>
        <w:tabs>
          <w:tab w:leader="none" w:pos="29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$610.7 million as of September 27, 2025 and June 28, 2025 for Kate Spade indefinite-lived brand intangible asset.</w:t>
      </w:r>
    </w:p>
    <w:p>
      <w:pPr>
        <w:spacing w:after="0" w:line="9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the Company’s definite-lived intangible assets was $0.8 million and $1.6 million for the three months ended September 27, 2025 and September 28, 2024,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27, 2025, the expected amortization expense for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90"/>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life of approximately 6.8 for customer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2026 Share Repurchase Program</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27, 2025, the Company repurchased $500.0 million of common stock, $238.3 million under the 2022 Share Repurchase Program and $261.7 million under the 2026 Share Repurchase Program. As of September 27, 2025, the Company had $2.74 billion of remaining repurchase authorization under the 2026 Share Repurchase Program.</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Earnings /</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1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Shares issued, pursuant to share-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based compensation arrangements,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Dividends declared ($0.35 per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900" w:type="dxa"/>
            <w:vAlign w:val="bottom"/>
          </w:tcPr>
          <w:p>
            <w:pPr>
              <w:spacing w:after="0"/>
              <w:rPr>
                <w:sz w:val="24"/>
                <w:szCs w:val="2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Earnings /</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1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28,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1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Shares issued, pursuant to share-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b w:val="1"/>
                <w:bCs w:val="1"/>
                <w:color w:val="auto"/>
              </w:rPr>
              <w:t>based compensation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10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withheld for taxes</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Repurchase of common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including excise tax</w:t>
            </w: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Dividends declared ($0.40 per</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27,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(3,363.5)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(Losses) on Cash</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on Available-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Hedging</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for-Sale</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2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line="243" w:lineRule="exact"/>
              <w:rPr>
                <w:sz w:val="20"/>
                <w:szCs w:val="20"/>
                <w:color w:val="auto"/>
              </w:rPr>
            </w:pPr>
            <w:r>
              <w:rPr>
                <w:rFonts w:ascii="Times New Roman" w:cs="Times New Roman" w:eastAsia="Times New Roman" w:hAnsi="Times New Roman"/>
                <w:sz w:val="18"/>
                <w:szCs w:val="18"/>
                <w:b w:val="1"/>
                <w:bCs w:val="1"/>
                <w:color w:val="auto"/>
                <w:w w:val="95"/>
              </w:rPr>
              <w:t>Derivatives</w:t>
            </w:r>
            <w:r>
              <w:rPr>
                <w:rFonts w:ascii="Times New Roman" w:cs="Times New Roman" w:eastAsia="Times New Roman" w:hAnsi="Times New Roman"/>
                <w:sz w:val="23"/>
                <w:szCs w:val="23"/>
                <w:b w:val="1"/>
                <w:bCs w:val="1"/>
                <w:color w:val="auto"/>
                <w:w w:val="95"/>
                <w:vertAlign w:val="superscript"/>
              </w:rPr>
              <w:t>(1)</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5"/>
              </w:rPr>
              <w:t>Adjustment</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76"/>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to earnings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28,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0" w:type="dxa"/>
            <w:vAlign w:val="bottom"/>
          </w:tcPr>
          <w:p>
            <w:pPr>
              <w:spacing w:after="0"/>
              <w:rPr>
                <w:sz w:val="1"/>
                <w:szCs w:val="1"/>
                <w:color w:val="auto"/>
              </w:rPr>
            </w:pPr>
          </w:p>
        </w:tc>
      </w:tr>
      <w:tr>
        <w:trPr>
          <w:trHeight w:val="229"/>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0" w:type="dxa"/>
            <w:vAlign w:val="bottom"/>
          </w:tcPr>
          <w:p>
            <w:pPr>
              <w:spacing w:after="0"/>
              <w:rPr>
                <w:sz w:val="1"/>
                <w:szCs w:val="1"/>
                <w:color w:val="auto"/>
              </w:rPr>
            </w:pPr>
          </w:p>
        </w:tc>
      </w:tr>
      <w:tr>
        <w:trPr>
          <w:trHeight w:val="176"/>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income to earnings</w:t>
            </w: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27,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35" w:lineRule="auto"/>
        <w:tabs>
          <w:tab w:leader="none" w:pos="46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$(0.9) million and $(0.8) million as of September 27, 2025 and September 28, 2024, respectively. The amounts reclassified from AOCI are net of tax of $(0.1) million and ($0.6) million as of September 27, 2025 and September 28, 2024, respectively.</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4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$80.1 million, net of tax of $14.5 million and a loss of $56.3 million, net of tax of $11.6 million, as of September 27, 2025 and September 28,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Sheets.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cash flow derivative instruments that qualify for hedge accounting, the changes in the fair value of these instruments are recognized as a component of Accumulated other comprehensive income (loss)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derivative instrument entered into by the Company that qualifies for hedge accounting is expected to be highly effective at reducing the risk associated with the exposure being hedged. For each derivative that is designated as a hedge, the 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and will continue not to be highly effective in hedging the designated exposure, hedge accounting is discontinued and further gains (losses) are recognized in earnings.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Condensed Consolidated Balance Sheets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Hedging Portfolio</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Canadian Dollar. To the extent its derivative contracts designated as cash flow hedges are highly effective in offsetting changes in the value of the hedged items, the related gains (losses) are initially deferred in AOCI and subsequently recognized in the Condensed Consolidated Statements of Operations as part of the cost of the inventory purchases being hedged within Cost of sales, when the related inventory is sold to a third-party. Current maturity dates range from October 2025 to June 2027.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September 27, 2025 range from October 2025 to December 2025, and such contracts are typically renewed upon maturity if the related balance has not been settled.</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September 27, 2025 and June 28,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128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640" w:type="dxa"/>
            <w:vAlign w:val="bottom"/>
            <w:tcBorders>
              <w:bottom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Consolidated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Consolidated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June 28,</w:t>
            </w:r>
          </w:p>
        </w:tc>
        <w:tc>
          <w:tcPr>
            <w:tcW w:w="128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Balance Sheet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28,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June 28,</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8"/>
              </w:rPr>
              <w:t>Classification</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Classification</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Hedging Instruments:</w:t>
            </w: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FC - Inventory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jc w:val="center"/>
              <w:ind w:left="131"/>
              <w:spacing w:after="0" w:line="189"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834.8</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8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7"/>
              </w:rPr>
              <w:t>Assets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360" w:type="dxa"/>
            <w:vAlign w:val="bottom"/>
            <w:vMerge w:val="restart"/>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investment</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500" w:type="dxa"/>
            <w:vAlign w:val="bottom"/>
            <w:vMerge w:val="restart"/>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Liabilities &amp;</w:t>
            </w: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20" w:type="dxa"/>
            <w:vAlign w:val="bottom"/>
            <w:gridSpan w:val="3"/>
            <w:vMerge w:val="restart"/>
            <w:shd w:val="clear" w:color="auto" w:fill="CCEEFF"/>
          </w:tcPr>
          <w:p>
            <w:pPr>
              <w:jc w:val="center"/>
              <w:ind w:right="30"/>
              <w:spacing w:after="0" w:line="199" w:lineRule="exact"/>
              <w:rPr>
                <w:sz w:val="20"/>
                <w:szCs w:val="20"/>
                <w:color w:val="auto"/>
              </w:rPr>
            </w:pPr>
            <w:r>
              <w:rPr>
                <w:rFonts w:ascii="Times New Roman" w:cs="Times New Roman" w:eastAsia="Times New Roman" w:hAnsi="Times New Roman"/>
                <w:sz w:val="18"/>
                <w:szCs w:val="18"/>
                <w:color w:val="auto"/>
                <w:w w:val="99"/>
              </w:rPr>
              <w:t>Assets &amp; Other</w:t>
            </w: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20" w:type="dxa"/>
            <w:vAlign w:val="bottom"/>
            <w:gridSpan w:val="3"/>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3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280" w:type="dxa"/>
            <w:vAlign w:val="bottom"/>
            <w:shd w:val="clear" w:color="auto" w:fill="CCEEFF"/>
          </w:tcPr>
          <w:p>
            <w:pPr>
              <w:jc w:val="center"/>
              <w:ind w:left="131"/>
              <w:spacing w:after="0" w:line="184" w:lineRule="exact"/>
              <w:rPr>
                <w:sz w:val="20"/>
                <w:szCs w:val="20"/>
                <w:color w:val="auto"/>
              </w:rPr>
            </w:pPr>
            <w:r>
              <w:rPr>
                <w:rFonts w:ascii="Times New Roman" w:cs="Times New Roman" w:eastAsia="Times New Roman" w:hAnsi="Times New Roman"/>
                <w:sz w:val="17"/>
                <w:szCs w:val="17"/>
                <w:color w:val="auto"/>
              </w:rPr>
              <w:t>Assets</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21"/>
                <w:szCs w:val="21"/>
                <w:color w:val="auto"/>
                <w:vertAlign w:val="superscript"/>
              </w:rPr>
              <w:t>(5)</w:t>
            </w: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designated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hedge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2,524.8</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5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09"/>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Undesignated Hedging Instruments: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FC -</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Accrued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liabilities and</w:t>
            </w:r>
          </w:p>
        </w:tc>
        <w:tc>
          <w:tcPr>
            <w:tcW w:w="120" w:type="dxa"/>
            <w:vAlign w:val="bottom"/>
          </w:tcPr>
          <w:p>
            <w:pPr>
              <w:spacing w:after="0"/>
              <w:rPr>
                <w:sz w:val="16"/>
                <w:szCs w:val="16"/>
                <w:color w:val="auto"/>
              </w:rPr>
            </w:pP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80" w:type="dxa"/>
            <w:vAlign w:val="bottom"/>
          </w:tcPr>
          <w:p>
            <w:pPr>
              <w:jc w:val="center"/>
              <w:ind w:left="131"/>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2,721.4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foreign exchange contracts ("CCS") and forward foreign exchange contracts ("FC") designated as derivative instruments in net investment hedging relationships.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not designated as hedges.</w:t>
      </w:r>
    </w:p>
    <w:p>
      <w:pPr>
        <w:spacing w:after="0" w:line="89"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27, 2025, the Company recorded $12.8 million within Other Current Assets and $5.0 million within Other Assets. As of June 28, 2025, the Company recorded $15.6 million within Other Current Assets and $0.0 million within Other Assets.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27, 2025, the Company recorded $3.8 million within Accrued Liabilities and $210.0 million within Other Liabilities. As of June 28, 2025, the Company recorded $6.9 million within Accrued Liabilities and $256.1 million within Other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pretax impact of gains and losses from the Company's designated derivative instruments on its Condensed Consolidated Financial Statements as of September 27, 2025 and September 28, 2024:</w:t>
      </w:r>
    </w:p>
    <w:p>
      <w:pPr>
        <w:spacing w:after="0" w:line="9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spacing w:after="0" w:line="2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1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840" w:type="dxa"/>
            <w:vAlign w:val="bottom"/>
            <w:tcBorders>
              <w:top w:val="single" w:sz="8" w:color="auto"/>
              <w:bottom w:val="single" w:sz="8" w:color="auto"/>
            </w:tcBorders>
            <w:gridSpan w:val="6"/>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28, 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gridSpan w:val="5"/>
          </w:tcPr>
          <w:p>
            <w:pPr>
              <w:jc w:val="right"/>
              <w:ind w:right="163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gridSpan w:val="2"/>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78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20" w:type="dxa"/>
            <w:vAlign w:val="bottom"/>
            <w:gridSpan w:val="10"/>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gridSpan w:val="6"/>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99"/>
        </w:trPr>
        <w:tc>
          <w:tcPr>
            <w:tcW w:w="21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240" w:type="dxa"/>
            <w:vAlign w:val="bottom"/>
            <w:gridSpan w:val="3"/>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4"/>
          </w:tcPr>
          <w:p>
            <w:pPr>
              <w:jc w:val="center"/>
              <w:ind w:left="117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Cost of sales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3"/>
                <w:szCs w:val="23"/>
                <w:color w:val="auto"/>
                <w:vertAlign w:val="superscript"/>
              </w:rPr>
              <w:t>(2)</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5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income (expense)</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interest rate contracts ("IC") designated as derivative instruments in cash flow hedging relationships.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$11.1 million of net derivative gain related to inventory purchases included in Accumulated other comprehensive income at September 27, 2025 will be reclassified into earnings within the next 12 months. This amount will vary due to fluctuations in foreign currency exchange rates.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net in the Company’s Condensed Consolidated Statements of Operations. Accordingly, the Company recorded net interest income of $7.0 million and $6.1 million during the three months ended September 27, 2025 and September 28, 2024,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7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28, 2024</w:t>
            </w:r>
          </w:p>
        </w:tc>
      </w:tr>
      <w:tr>
        <w:trPr>
          <w:trHeight w:val="190"/>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20" w:type="dxa"/>
            <w:vAlign w:val="bottom"/>
            <w:gridSpan w:val="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r>
      <w:tr>
        <w:trPr>
          <w:trHeight w:val="261"/>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4"/>
        </w:trPr>
        <w:tc>
          <w:tcPr>
            <w:tcW w:w="7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4"/>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September 27, 2025 and September 28, 2024, there were 0.6 million and 2.1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23"/>
        </w:trPr>
        <w:tc>
          <w:tcPr>
            <w:tcW w:w="7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74"/>
              <w:spacing w:after="0" w:line="223" w:lineRule="exact"/>
              <w:rPr>
                <w:sz w:val="20"/>
                <w:szCs w:val="20"/>
                <w:color w:val="auto"/>
              </w:rPr>
            </w:pPr>
            <w:r>
              <w:rPr>
                <w:rFonts w:ascii="Times New Roman" w:cs="Times New Roman" w:eastAsia="Times New Roman" w:hAnsi="Times New Roman"/>
                <w:sz w:val="18"/>
                <w:szCs w:val="18"/>
                <w:b w:val="1"/>
                <w:bCs w:val="1"/>
                <w:color w:val="auto"/>
              </w:rPr>
              <w:t>September 27, 2025</w:t>
            </w:r>
            <w:r>
              <w:rPr>
                <w:rFonts w:ascii="Times New Roman" w:cs="Times New Roman" w:eastAsia="Times New Roman" w:hAnsi="Times New Roman"/>
                <w:sz w:val="23"/>
                <w:szCs w:val="23"/>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28, 2024</w:t>
            </w:r>
          </w:p>
        </w:tc>
      </w:tr>
      <w:tr>
        <w:trPr>
          <w:trHeight w:val="190"/>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2"/>
          </w:tcPr>
          <w:p>
            <w:pPr>
              <w:jc w:val="center"/>
              <w:ind w:left="151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60" w:type="dxa"/>
            <w:vAlign w:val="bottom"/>
          </w:tcPr>
          <w:p>
            <w:pPr>
              <w:spacing w:after="0"/>
              <w:rPr>
                <w:sz w:val="16"/>
                <w:szCs w:val="16"/>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8"/>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60" w:type="dxa"/>
            <w:vAlign w:val="bottom"/>
          </w:tcPr>
          <w:p>
            <w:pPr>
              <w:spacing w:after="0"/>
              <w:rPr>
                <w:sz w:val="20"/>
                <w:szCs w:val="20"/>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31" w:lineRule="exact"/>
        <w:rPr>
          <w:sz w:val="20"/>
          <w:szCs w:val="20"/>
          <w:color w:val="auto"/>
        </w:rPr>
      </w:pPr>
    </w:p>
    <w:p>
      <w:pPr>
        <w:jc w:val="both"/>
        <w:ind w:left="3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September 27, 2025, the Company incurred $0.4 million of share-based compensation expense related to the modification of award terms in connection with the sale of the Stuart Weitzman Business and $1.3 million of share-based compensation expense related to its Organizational Efficiency Costs. Refer to Note 5, "Acquisitions and Divestitures" for further information.</w:t>
      </w:r>
    </w:p>
    <w:p>
      <w:pPr>
        <w:spacing w:after="0" w:line="87"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Stock Options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summary of stock option activity during the three months ended September 27, 2025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84"/>
        </w:trPr>
        <w:tc>
          <w:tcPr>
            <w:tcW w:w="91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r>
      <w:tr>
        <w:trPr>
          <w:trHeight w:val="229"/>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90"/>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27, 2025</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September 27, 2025 and September 28, 2024 was $36.74 and $12.06, respectively. The fair value of each option grant is estimated on the date of grant using the Black-Scholes option pricing model and the following weighted-average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 28, 2024</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4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41.5 %</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896"/>
        </w:trPr>
        <w:tc>
          <w:tcPr>
            <w:tcW w:w="3580" w:type="dxa"/>
            <w:vAlign w:val="bottom"/>
          </w:tcPr>
          <w:p>
            <w:pPr>
              <w:spacing w:after="0"/>
              <w:rPr>
                <w:sz w:val="24"/>
                <w:szCs w:val="24"/>
                <w:color w:val="auto"/>
              </w:rPr>
            </w:pPr>
          </w:p>
        </w:tc>
        <w:tc>
          <w:tcPr>
            <w:tcW w:w="34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18</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service-based RSU activity during the three months ended September 27,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Non-vested 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color w:val="auto"/>
                <w:w w:val="97"/>
              </w:rPr>
              <w:t>4.5</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0.8</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shd w:val="clear" w:color="auto" w:fill="CCEEFF"/>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9"/>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27, 2025</w:t>
            </w:r>
          </w:p>
        </w:tc>
        <w:tc>
          <w:tcPr>
            <w:tcW w:w="2060" w:type="dxa"/>
            <w:vAlign w:val="bottom"/>
            <w:tcBorders>
              <w:bottom w:val="single" w:sz="8" w:color="auto"/>
            </w:tcBorders>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3.4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three months ended September 27, 2025 and September 28, 2024 was $99.83 and $40.65, respectively.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PRSU activity during the three months ended September 27,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Non-vested PRSUs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27, 2025</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three months ended September 27, 2025 and September 28, 2024 was $111.74 and $40.66,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2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40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1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1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China Credit Facility</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5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9"/>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3"/>
        </w:trPr>
        <w:tc>
          <w:tcPr>
            <w:tcW w:w="7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5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2025 and September 28, 2024, the Company recognized interest expense related to the outstanding debt of $30.1 million and $123.2 million, respectively.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22, 2025, the Company announced it entered into a definitive agreement to refinance and replace the Company's unsecured revolving facility dated May 11, 2022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dated as of May 22, 2025. Under the Amended Revolving Credit Facility, the Lenders have made available to the Company a $2.00 billion unsecured revolving credit facility, including sub facilities for letters of credit, with a maturity date of May 22, 2030.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w:t>
      </w:r>
    </w:p>
    <w:p>
      <w:pPr>
        <w:jc w:val="both"/>
        <w:ind w:firstLine="8"/>
        <w:spacing w:after="0" w:line="250" w:lineRule="auto"/>
        <w:tabs>
          <w:tab w:leader="none" w:pos="3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w:t>
      </w:r>
    </w:p>
    <w:p>
      <w:pPr>
        <w:jc w:val="both"/>
        <w:ind w:firstLine="8"/>
        <w:spacing w:after="0" w:line="253" w:lineRule="auto"/>
        <w:tabs>
          <w:tab w:leader="none" w:pos="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Existing Revolving Credit Facility used to partially fund the share repurchases under the ASR Agreements and for general corporate purposes. Subsequently, on December 11, 2024, the Company issued $1.50 billion of senior unsecured notes (as defined below, the 2030 and 2035 Senior Notes) and the funds were partially used to repay the borrowings under the Existing Revolving Credit Facility on December 11, 2024. There were no outstanding borrowings on the Amended Revolving Credit Facility as of September 27,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used to partially fund the share repurchases under the ASR Agreements, and for general corporate purposes. Borrowings under the Term Loan Credit Agreement bear interest at a rate per annum equal to, at the Company's option, (i) an alternative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Company will pay interest semi-annually on the 2030 and 2035 Senior Notes on March 11 and September 11 of each year, commencing on September 11, 2025.</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During the three months ended September 27, 2025, the Company issued notes under the Commercial Paper Program with original maturities less than 3 months. As of September 27, 2025, the Company had $240.0 million of borrowings outstanding under the Commercial Paper Program with a weighted average interest rate of 4.260%.</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$35.0 million), which includes a loan of up to RMB 85.0 million (approximately $11.9 million), a bank guarantee facility of up to RMB 15.0 million (approximately $2.1 million) and Accounts payable financing of up to RMB 150.0 million (approximately $21.0 million). Borrowings under the China Credit Facility bear interest at rates based on the People’s Bank of China Loan Prime Rate plus an applicable margin, as determined at the time of each drawdown. As of September 27, 2025, the Company had RMB 120.0 million ($16.8 million) of borrowings outstanding under this facility, which was recorded within Current debt on the Company’s Consolidated Balance Sheets. The weighted-average interest rate on borrowings outstanding under the facility was 2.600% as of September 27,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 Related Debt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27, 2023, in order to finance the Capri Acquisition,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redemption prior to their scheduled maturities, the Company was subject to redemption premiums of $61.2 million paid on the Capri Acquisition Senior Notes. Additionally, the Company recognized $55.0 million of unamortized debt issuance costs and discounts in connection with the redemption of the Capri Acquisition Senior Notes. These redemption premiums, as well as unamortized debt issuance costs and discounts, were recorded as a Loss on extinguishment of debt during the second quarter of fiscal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September 27, 2025, we were in compliance with these restrictions and covenants, have met such financial ratios and have met all debt payment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September 27, 2025 and June 28,</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2025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4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40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92"/>
        </w:trPr>
        <w:tc>
          <w:tcPr>
            <w:tcW w:w="40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4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394.5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 w:type="dxa"/>
            <w:vAlign w:val="bottom"/>
          </w:tcPr>
          <w:p>
            <w:pPr>
              <w:spacing w:after="0"/>
              <w:rPr>
                <w:sz w:val="20"/>
                <w:szCs w:val="20"/>
                <w:color w:val="auto"/>
              </w:rPr>
            </w:pPr>
          </w:p>
        </w:tc>
      </w:tr>
      <w:tr>
        <w:trPr>
          <w:trHeight w:val="230"/>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767.1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3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451.9</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19"/>
                <w:szCs w:val="19"/>
                <w:color w:val="auto"/>
              </w:rPr>
            </w:pPr>
          </w:p>
        </w:tc>
      </w:tr>
      <w:tr>
        <w:trPr>
          <w:trHeight w:val="238"/>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763.2</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0" w:type="dxa"/>
            <w:vAlign w:val="bottom"/>
          </w:tcPr>
          <w:p>
            <w:pPr>
              <w:spacing w:after="0"/>
              <w:rPr>
                <w:sz w:val="20"/>
                <w:szCs w:val="20"/>
                <w:color w:val="auto"/>
              </w:rPr>
            </w:pPr>
          </w:p>
        </w:tc>
      </w:tr>
      <w:tr>
        <w:trPr>
          <w:trHeight w:val="896"/>
        </w:trPr>
        <w:tc>
          <w:tcPr>
            <w:tcW w:w="4020" w:type="dxa"/>
            <w:vAlign w:val="bottom"/>
          </w:tcPr>
          <w:p>
            <w:pPr>
              <w:spacing w:after="0"/>
              <w:rPr>
                <w:sz w:val="24"/>
                <w:szCs w:val="24"/>
                <w:color w:val="auto"/>
              </w:rPr>
            </w:pPr>
          </w:p>
        </w:tc>
        <w:tc>
          <w:tcPr>
            <w:tcW w:w="38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September 27, 2025 and June 28,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400" w:type="dxa"/>
            <w:vAlign w:val="bottom"/>
          </w:tcPr>
          <w:p>
            <w:pPr>
              <w:spacing w:after="0"/>
              <w:rPr>
                <w:sz w:val="14"/>
                <w:szCs w:val="14"/>
                <w:color w:val="auto"/>
              </w:rPr>
            </w:pPr>
          </w:p>
        </w:tc>
        <w:tc>
          <w:tcPr>
            <w:tcW w:w="1120" w:type="dxa"/>
            <w:vAlign w:val="bottom"/>
          </w:tcPr>
          <w:p>
            <w:pPr>
              <w:jc w:val="right"/>
              <w:ind w:right="332"/>
              <w:spacing w:after="0" w:line="169" w:lineRule="exact"/>
              <w:rPr>
                <w:sz w:val="20"/>
                <w:szCs w:val="20"/>
                <w:color w:val="auto"/>
              </w:rPr>
            </w:pPr>
            <w:r>
              <w:rPr>
                <w:rFonts w:ascii="Times New Roman" w:cs="Times New Roman" w:eastAsia="Times New Roman" w:hAnsi="Times New Roman"/>
                <w:sz w:val="18"/>
                <w:szCs w:val="18"/>
                <w:color w:val="auto"/>
              </w:rPr>
              <w:t>June 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1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4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129.6</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shd w:val="clear" w:color="auto" w:fill="CCEEFF"/>
          </w:tcPr>
          <w:p>
            <w:pPr>
              <w:spacing w:after="0"/>
              <w:rPr>
                <w:sz w:val="18"/>
                <w:szCs w:val="18"/>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23.7</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9"/>
        </w:trPr>
        <w:tc>
          <w:tcPr>
            <w:tcW w:w="20" w:type="dxa"/>
            <w:vAlign w:val="bottom"/>
            <w:shd w:val="clear" w:color="auto" w:fill="CCEEFF"/>
          </w:tcPr>
          <w:p>
            <w:pPr>
              <w:spacing w:after="0"/>
              <w:rPr>
                <w:sz w:val="18"/>
                <w:szCs w:val="18"/>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9"/>
        </w:trPr>
        <w:tc>
          <w:tcPr>
            <w:tcW w:w="20" w:type="dxa"/>
            <w:vAlign w:val="bottom"/>
            <w:shd w:val="clear" w:color="auto" w:fill="CCEEFF"/>
          </w:tcPr>
          <w:p>
            <w:pPr>
              <w:spacing w:after="0"/>
              <w:rPr>
                <w:sz w:val="16"/>
                <w:szCs w:val="16"/>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213.8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5"/>
        </w:trPr>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71" w:lineRule="exact"/>
        <w:rPr>
          <w:sz w:val="20"/>
          <w:szCs w:val="20"/>
          <w:color w:val="auto"/>
        </w:rPr>
      </w:pPr>
    </w:p>
    <w:p>
      <w:pPr>
        <w:ind w:left="340" w:right="2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 of money market funds and time deposits with maturities of three months or less at the date of purchase. Due to their short-term maturity, management believes that their carrying value approximates fair value.</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hedges is primarily based on the forward curves of the specific indices upon which settlement is based and includes an adjustment for the counterparty’s or Company’s credit risk.</w:t>
      </w:r>
    </w:p>
    <w:p>
      <w:pPr>
        <w:spacing w:after="0" w:line="9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assets and liabilities described above, the Company held $6.3 million of equity securities at September 27, 2025 without readily determinable fair values. As such, the Company has elected to measure these securities at cost less impairment as a practical expedient to estimating fair value, and has excluded these securities from the table above.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impairment charges recorded during the three months ended September 27, 2025 or three months ended September 28, 2024.</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27, 2025 was 13.8%, as compared to 17.3% for the three months ended September 28, 2024. The decrease in effective tax rate for the three months ended September 27, 2025 as compared to the three months ended September 28, 2024 was primarily attributable to the excess tax windfall related to share-based compensation awards partially offset by the geographical mix of earnings.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$28.3 million and $26.5 million outstanding at September 27, 2025 and June 28, 2025, respectively. The agreements, which expire at various dates through calendar 2039, primarily collateralize the Company's obligation to third parties for duty, leases, insurance claims and materials used in product manufacturing. The Company pays certain fees with respect to these instruments that are issued.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other contractual cash obligations as of September 27, 2025 related to debt repayments. Refer to Note 11, "Debt," for further information.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The Company intends to vigorously defend itself in these matters.</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are not disclosed as this information is not regularly provided to the CODM at the segment level.</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overhead expenses related to corporate functions as well as certain administration, corporate occupancy, information technology and depreciation costs.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August 4, 2025, the Company determined it has two reportable segments on a prospective basis as a result of the sale of the Stuart Weitzman Business. The Company has included the results of our disposed segment, Stuart Weitzman, below for comparability purposes. Refer to Note 5, "Acquisitions and Divestitures" for further information.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sales, significant expenses and operating profit (loss) of each of the Company's segments and reconciliation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(loss) before provision for income taxes for the three months ended September 27, 2025 and September 28,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auto"/>
            </w:tcBorders>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Three Months Ended September 27, 2025</w:t>
            </w:r>
          </w:p>
        </w:tc>
        <w:tc>
          <w:tcPr>
            <w:tcW w:w="1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1,704.6</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404.1</w:t>
            </w: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808.5</w:t>
            </w: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492.0</w:t>
            </w:r>
          </w:p>
        </w:tc>
      </w:tr>
      <w:tr>
        <w:trPr>
          <w:trHeight w:val="230"/>
        </w:trPr>
        <w:tc>
          <w:tcPr>
            <w:tcW w:w="20" w:type="dxa"/>
            <w:vAlign w:val="bottom"/>
          </w:tcPr>
          <w:p>
            <w:pPr>
              <w:spacing w:after="0"/>
              <w:rPr>
                <w:sz w:val="19"/>
                <w:szCs w:val="19"/>
                <w:color w:val="auto"/>
              </w:rPr>
            </w:pPr>
          </w:p>
        </w:tc>
        <w:tc>
          <w:tcPr>
            <w:tcW w:w="47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23"/>
        </w:trPr>
        <w:tc>
          <w:tcPr>
            <w:tcW w:w="20" w:type="dxa"/>
            <w:vAlign w:val="bottom"/>
          </w:tcPr>
          <w:p>
            <w:pPr>
              <w:spacing w:after="0"/>
              <w:rPr>
                <w:sz w:val="19"/>
                <w:szCs w:val="19"/>
                <w:color w:val="auto"/>
              </w:rPr>
            </w:pPr>
          </w:p>
        </w:tc>
        <w:tc>
          <w:tcPr>
            <w:tcW w:w="4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47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Three Months Ended September 28, 2024</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r>
      <w:tr>
        <w:trPr>
          <w:trHeight w:val="229"/>
        </w:trPr>
        <w:tc>
          <w:tcPr>
            <w:tcW w:w="20" w:type="dxa"/>
            <w:vAlign w:val="bottom"/>
          </w:tcPr>
          <w:p>
            <w:pPr>
              <w:spacing w:after="0"/>
              <w:rPr>
                <w:sz w:val="19"/>
                <w:szCs w:val="19"/>
                <w:color w:val="auto"/>
              </w:rPr>
            </w:pPr>
          </w:p>
        </w:tc>
        <w:tc>
          <w:tcPr>
            <w:tcW w:w="47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r>
      <w:tr>
        <w:trPr>
          <w:trHeight w:val="223"/>
        </w:trPr>
        <w:tc>
          <w:tcPr>
            <w:tcW w:w="20" w:type="dxa"/>
            <w:vAlign w:val="bottom"/>
          </w:tcPr>
          <w:p>
            <w:pPr>
              <w:spacing w:after="0"/>
              <w:rPr>
                <w:sz w:val="19"/>
                <w:szCs w:val="19"/>
                <w:color w:val="auto"/>
              </w:rPr>
            </w:pPr>
          </w:p>
        </w:tc>
        <w:tc>
          <w:tcPr>
            <w:tcW w:w="47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171" w:lineRule="exact"/>
        <w:rPr>
          <w:sz w:val="20"/>
          <w:szCs w:val="20"/>
          <w:color w:val="auto"/>
        </w:rPr>
      </w:pPr>
    </w:p>
    <w:p>
      <w:pPr>
        <w:ind w:left="340" w:hanging="332"/>
        <w:spacing w:after="0" w:line="229" w:lineRule="auto"/>
        <w:tabs>
          <w:tab w:leader="none" w:pos="269"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September 27, 2025, Stuart Weitzman Net sales, Cost of sales and Selling, general and administrative expenses represent results for the period prior to the sale on August 4, 2025.</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63"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Significant expense categories that are regularly provided to the CODM, or easily computable from information that is regularly provided to the CODM.</w:t>
      </w:r>
    </w:p>
    <w:p>
      <w:pPr>
        <w:spacing w:after="0" w:line="60"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expenses represent certain corporate expenses that are not directly attributable to a segment.</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expense, net and Other expense (income).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months ended September 27, 2025 and September 28,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2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300" w:type="dxa"/>
            <w:vAlign w:val="bottom"/>
          </w:tcPr>
          <w:p>
            <w:pPr>
              <w:spacing w:after="0"/>
              <w:rPr>
                <w:sz w:val="14"/>
                <w:szCs w:val="14"/>
                <w:color w:val="auto"/>
              </w:rPr>
            </w:pPr>
          </w:p>
        </w:tc>
        <w:tc>
          <w:tcPr>
            <w:tcW w:w="13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w w:val="98"/>
              </w:rPr>
              <w:t>September 28,</w:t>
            </w:r>
          </w:p>
        </w:tc>
      </w:tr>
      <w:tr>
        <w:trPr>
          <w:trHeight w:val="243"/>
        </w:trPr>
        <w:tc>
          <w:tcPr>
            <w:tcW w:w="21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32"/>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2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tcPr>
          <w:p>
            <w:pPr>
              <w:spacing w:after="0"/>
              <w:rPr>
                <w:sz w:val="16"/>
                <w:szCs w:val="16"/>
                <w:color w:val="auto"/>
              </w:rPr>
            </w:pPr>
          </w:p>
        </w:tc>
      </w:tr>
      <w:tr>
        <w:trPr>
          <w:trHeight w:val="236"/>
        </w:trPr>
        <w:tc>
          <w:tcPr>
            <w:tcW w:w="79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depreciation and amortization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9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spacing w:after="0" w:line="14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0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depreciation and amortization costs that are not directly attributable to a segment.</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282"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includes $0.9 million of costs in connection with the sale of the Stuart Weitzman Business for the three months ended September 27, 2025 recorded within Unallocated corporate. Depreciation and amortization expense includes $1.5 million of costs related to the Company's organizational efficiency efforts for the three months ended September 27, 2025 recorded within Unallocated corporate.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total assets of each of the Company's segments for the three months ended September 27, 2025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September 28,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74"/>
        </w:trPr>
        <w:tc>
          <w:tcPr>
            <w:tcW w:w="21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260" w:type="dxa"/>
            <w:vAlign w:val="bottom"/>
          </w:tcPr>
          <w:p>
            <w:pPr>
              <w:spacing w:after="0"/>
              <w:rPr>
                <w:sz w:val="15"/>
                <w:szCs w:val="15"/>
                <w:color w:val="auto"/>
              </w:rPr>
            </w:pPr>
          </w:p>
        </w:tc>
        <w:tc>
          <w:tcPr>
            <w:tcW w:w="138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September 28,</w:t>
            </w:r>
          </w:p>
        </w:tc>
      </w:tr>
      <w:tr>
        <w:trPr>
          <w:trHeight w:val="238"/>
        </w:trPr>
        <w:tc>
          <w:tcPr>
            <w:tcW w:w="2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2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80" w:type="dxa"/>
            <w:vAlign w:val="bottom"/>
          </w:tcPr>
          <w:p>
            <w:pPr>
              <w:spacing w:after="0"/>
              <w:rPr>
                <w:sz w:val="16"/>
                <w:szCs w:val="16"/>
                <w:color w:val="auto"/>
              </w:rPr>
            </w:pPr>
          </w:p>
        </w:tc>
      </w:tr>
      <w:tr>
        <w:trPr>
          <w:trHeight w:val="23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r>
      <w:tr>
        <w:trPr>
          <w:trHeight w:val="23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r>
      <w:tr>
        <w:trPr>
          <w:trHeight w:val="23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23"/>
        </w:trPr>
        <w:tc>
          <w:tcPr>
            <w:tcW w:w="78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assets:</w:t>
            </w: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w:t>
            </w:r>
          </w:p>
        </w:tc>
      </w:tr>
      <w:tr>
        <w:trPr>
          <w:trHeight w:val="229"/>
        </w:trPr>
        <w:tc>
          <w:tcPr>
            <w:tcW w:w="786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8,431.4</w:t>
            </w:r>
          </w:p>
        </w:tc>
      </w:tr>
      <w:tr>
        <w:trPr>
          <w:trHeight w:val="248"/>
        </w:trPr>
        <w:tc>
          <w:tcPr>
            <w:tcW w:w="7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80" w:type="dxa"/>
            <w:vAlign w:val="bottom"/>
            <w:tcBorders>
              <w:bottom w:val="single" w:sz="8" w:color="auto"/>
            </w:tcBorders>
          </w:tcPr>
          <w:p>
            <w:pPr>
              <w:spacing w:after="0"/>
              <w:rPr>
                <w:sz w:val="10"/>
                <w:szCs w:val="10"/>
                <w:color w:val="auto"/>
              </w:rPr>
            </w:pPr>
          </w:p>
        </w:tc>
        <w:tc>
          <w:tcPr>
            <w:tcW w:w="5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r>
    </w:tbl>
    <w:p>
      <w:pPr>
        <w:spacing w:after="0" w:line="184" w:lineRule="exact"/>
        <w:rPr>
          <w:sz w:val="20"/>
          <w:szCs w:val="20"/>
          <w:color w:val="auto"/>
        </w:rPr>
      </w:pPr>
    </w:p>
    <w:p>
      <w:pPr>
        <w:ind w:left="5540" w:right="1740" w:hanging="5532"/>
        <w:spacing w:after="0" w:line="904" w:lineRule="auto"/>
        <w:tabs>
          <w:tab w:leader="none" w:pos="267"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assets that are not directly attributable to a segment.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6" w:lineRule="exact"/>
        <w:rPr>
          <w:sz w:val="20"/>
          <w:szCs w:val="20"/>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7"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comparability that are important in understanding results of operations and financial conditions, and in anticipating future trends.</w:t>
      </w:r>
    </w:p>
    <w:p>
      <w:pPr>
        <w:spacing w:after="0" w:line="5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first quarter of fiscal 2026 compared to the first quarter of fiscal 2025.</w:t>
      </w:r>
    </w:p>
    <w:p>
      <w:pPr>
        <w:spacing w:after="0" w:line="117" w:lineRule="exact"/>
        <w:rPr>
          <w:rFonts w:ascii="Times New Roman" w:cs="Times New Roman" w:eastAsia="Times New Roman" w:hAnsi="Times New Roman"/>
          <w:sz w:val="18"/>
          <w:szCs w:val="18"/>
          <w:color w:val="auto"/>
        </w:rPr>
      </w:pPr>
    </w:p>
    <w:p>
      <w:pPr>
        <w:jc w:val="both"/>
        <w:ind w:left="580" w:right="120" w:hanging="248"/>
        <w:spacing w:after="0" w:line="267"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5"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Annual Report on Form 10-K for fiscal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580" w:hanging="248"/>
        <w:spacing w:after="0" w:line="284"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2028 Growth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fiscal 2026, the Company introduced its 2028 growth strategy (“Amplify”), which focuses on four key pillars:</w:t>
      </w:r>
    </w:p>
    <w:p>
      <w:pPr>
        <w:spacing w:after="0" w:line="117"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Emotional Connections with Consumers: The Company aims to drive new customer acquisition, with a focus on Gen Z consumers entering the market to build brand love and lifetime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lead with handbags and leathergoods with targeted lifestyle expansion in footwear.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Experiences to Drive Global Growth: The Company aims to sustain growth in North America and accelerate momentum in international markets, prioritizing Greater China and Europe.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Ignite the Power of Our People: The Company aims to future-proof growth by continuing to develop a consumer-obsessed culture that is agile and always looking forward.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was subject to customary adjustments for cash, indebtedness, net working capital and transaction expenses. The sale was completed on August 4, 2025 (the "Stuart Weitzman Business Divestiture"). Refer to Note 5, "Acquisitions and Divestitures" for further information.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for further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"Risk Factors" herein and as disclosed in our Annual Report on Form 10-K for the year ended June 28, 2025.</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Outlook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Currency volatility, geopolitical instability and political uncertainty, such as the impact of policies implemented and that may be implemented by the U.S. Presidential Administration, including, but not limited to, changes to trade agreements, tax legislation or duty rates may also contribute to a worsening of the macroeconomic environment or adversely impact our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 As a result of these changes in the tariff landscape, including the de minimis removal, during the first quarter of fiscal 2026 the Company's gross margin was negatively impacted by approximately 70 basis points. The Company continues to expect to take actions to mitigate the negative impacts of these incremental costs during the remainder of the fiscal year and beyond.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the macroeconomic environment remained challenging and volatile. Several organizations that monitor the world’s economy, including the International Monetary Fund, continue to forecast growth in the global economy, and remains mostly unchanged since the fourth quarter of fiscal 2025. The forecast is below the historical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growth average and is reflective of the current volatile environment, including escalation of trade tensions, financial market volatility and the negative economic impacts of geopolitical instability in certain regions of the world.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2026, the U.S. Dollar continued to fluctuate as compared to foreign currencies in regions where we conduct our business. This trend has resulted in impacts to our business including, but not limited to, an increase in Net sales of $10.6 million and a negative impact to gross margin and operating margin of approximately 60 basis points and 50 basis points, respectively.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response to the current environment, the Company is closely monitoring changes and continues to take strategic actions considering near-term exigencies and remains committed to maintaining the health of the brands and business.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corporate alternative minimum tax (“CAMT”) on global adjusted financial statement income and a 1% excise tax on share repurchases. The CAMT was effective at the beginning of fiscal 2024 and did not have a material impact on the Company’s effective tax rate.</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December 12, 2022, the E.U. member states also reached an agreement to implement the Organization for Economic Co-operation and Development’s (“OECD”) reform of international taxation known as </w:t>
      </w:r>
      <w:r>
        <w:rPr>
          <w:rFonts w:ascii="Times New Roman" w:cs="Times New Roman" w:eastAsia="Times New Roman" w:hAnsi="Times New Roman"/>
          <w:sz w:val="18"/>
          <w:szCs w:val="18"/>
          <w:i w:val="1"/>
          <w:iCs w:val="1"/>
          <w:color w:val="auto"/>
        </w:rPr>
        <w:t>Pillar Two</w:t>
      </w:r>
      <w:r>
        <w:rPr>
          <w:rFonts w:ascii="Times New Roman" w:cs="Times New Roman" w:eastAsia="Times New Roman" w:hAnsi="Times New Roman"/>
          <w:sz w:val="18"/>
          <w:szCs w:val="18"/>
          <w:color w:val="auto"/>
        </w:rPr>
        <w:t xml:space="preserve"> Global Anti-Base Erosion Rules (“GloBE”), which broadly mirrors the Inflation Reduction Act by imposing a 15% global minimum tax on multinational companies, which was effective on January 1, 2025. Based on the countries in which we do business, these changes did not have a material impact in fiscal 2025. Other countries are also implementing similar legislation with effective dates starting in fiscal 2026, known as Qualifying Domestic Minimum Top-Up Tax ("QDMTT"). On June 26, 2025, the U.S. Treasury reached an agreement with the other G7 countries regarding the application of GloBE rules to U.S. parented multinational enterprises ("U.S. MNEs"). Most notably, the agreement includes a full exclusion for U.S. MNEs from the Undertaxed Profits Rule and Income Inclusion Rule, which are two of the three taxing mechanisms under GloBE. Given that the third mechanism, QDMTT is still in force, it is unclear what impact if any the OECD agreement will have on the Company. Based on current legislation, QDMTT will have a negative impact on the Company's effective tax rate in fiscal 2026 and beyond.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2026 COMPARED TO FIRST QUARTER FISCAL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quarter of fiscal 2026 compared to the first quarter of fiscal 2025.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Net sales</w:t>
            </w:r>
          </w:p>
        </w:tc>
        <w:tc>
          <w:tcPr>
            <w:tcW w:w="220" w:type="dxa"/>
            <w:vAlign w:val="bottom"/>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13.1 %</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first quarter of fiscal 2026 and fiscal 2025 reflect certain items which affect the comparability of our results, as noted in the following table. Refer to "Non-GAAP Measures" herein for further discussion on the Non-GAAP measures.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made certain changes to the composition of segment information effective in the first quarter of fiscal 2026 as a result of the sale of Stuart Weitzman on August 4, 2025. As of the first quarter of fiscal 2026, the Company's reportable segments are Coach and Kate Spade. For the first quarter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three months ended September 27, 2025. For the first quarter of fiscal 2025, Stuart Weitzman Net sales were $53.7 million, Gross profit was $29.2 million and SG&amp;A expenses were $36.6 million resulting in an Operating loss of $7.4 million. These results were not considered as Items Affecting Comparability in the three months ended September 28,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Fiscal 2026 Items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27, 2025</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26"/>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69"/>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4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488.6</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297.1</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2026,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and Divestiture </w:t>
      </w:r>
      <w:r>
        <w:rPr>
          <w:rFonts w:ascii="Times New Roman" w:cs="Times New Roman" w:eastAsia="Times New Roman" w:hAnsi="Times New Roman"/>
          <w:sz w:val="18"/>
          <w:szCs w:val="18"/>
          <w:color w:val="auto"/>
        </w:rPr>
        <w:t>- Total pre-tax charges of $14.7 million related to the Stuart Weitzman divestiture primarily due to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costs as well as the Stuart Weitzman Operating loss for the period.</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$11.0 million primarily related to technology costs and severance costs.</w:t>
      </w:r>
    </w:p>
    <w:p>
      <w:pPr>
        <w:spacing w:after="0" w:line="119" w:lineRule="exact"/>
        <w:rPr>
          <w:sz w:val="20"/>
          <w:szCs w:val="20"/>
          <w:color w:val="auto"/>
        </w:rPr>
      </w:pPr>
    </w:p>
    <w:p>
      <w:pPr>
        <w:ind w:firstLine="198"/>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$25.7 million and reduced the provision for income tax by $3.4 million resulting in a net decrease in net income by $22.3 million or $0.10 per diluted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Segment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Three Months Ended September 27, 2025</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26"/>
        </w:trPr>
        <w:tc>
          <w:tcPr>
            <w:tcW w:w="4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169"/>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637.4</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161.0</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First Quarter Fiscal 2025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172"/>
              <w:spacing w:after="0"/>
              <w:rPr>
                <w:sz w:val="20"/>
                <w:szCs w:val="20"/>
                <w:color w:val="auto"/>
              </w:rPr>
            </w:pPr>
            <w:r>
              <w:rPr>
                <w:rFonts w:ascii="Times New Roman" w:cs="Times New Roman" w:eastAsia="Times New Roman" w:hAnsi="Times New Roman"/>
                <w:sz w:val="16"/>
                <w:szCs w:val="16"/>
                <w:color w:val="auto"/>
              </w:rPr>
              <w:t>Three Months Ended September 28, 2024</w:t>
            </w:r>
          </w:p>
        </w:tc>
        <w:tc>
          <w:tcPr>
            <w:tcW w:w="0" w:type="dxa"/>
            <w:vAlign w:val="bottom"/>
          </w:tcPr>
          <w:p>
            <w:pPr>
              <w:spacing w:after="0"/>
              <w:rPr>
                <w:sz w:val="1"/>
                <w:szCs w:val="1"/>
                <w:color w:val="auto"/>
              </w:rPr>
            </w:pPr>
          </w:p>
        </w:tc>
      </w:tr>
      <w:tr>
        <w:trPr>
          <w:trHeight w:val="226"/>
        </w:trPr>
        <w:tc>
          <w:tcPr>
            <w:tcW w:w="6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center"/>
              <w:ind w:left="1114"/>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6"/>
                <w:szCs w:val="16"/>
                <w:color w:val="auto"/>
              </w:rPr>
              <w:t>GAAP Basis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Acquisition Costs</w:t>
            </w:r>
          </w:p>
        </w:tc>
        <w:tc>
          <w:tcPr>
            <w:tcW w:w="180" w:type="dxa"/>
            <w:vAlign w:val="bottom"/>
          </w:tcPr>
          <w:p>
            <w:pPr>
              <w:spacing w:after="0"/>
              <w:rPr>
                <w:sz w:val="13"/>
                <w:szCs w:val="13"/>
                <w:color w:val="auto"/>
              </w:rPr>
            </w:pPr>
          </w:p>
        </w:tc>
        <w:tc>
          <w:tcPr>
            <w:tcW w:w="1460" w:type="dxa"/>
            <w:vAlign w:val="bottom"/>
          </w:tcPr>
          <w:p>
            <w:pPr>
              <w:jc w:val="right"/>
              <w:ind w:right="152"/>
              <w:spacing w:after="0" w:line="155" w:lineRule="exact"/>
              <w:rPr>
                <w:sz w:val="20"/>
                <w:szCs w:val="20"/>
                <w:color w:val="auto"/>
              </w:rPr>
            </w:pPr>
            <w:r>
              <w:rPr>
                <w:rFonts w:ascii="Times New Roman" w:cs="Times New Roman" w:eastAsia="Times New Roman" w:hAnsi="Times New Roman"/>
                <w:sz w:val="16"/>
                <w:szCs w:val="16"/>
                <w:color w:val="auto"/>
              </w:rPr>
              <w:t>Non-GAAP Basis</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(Excluding Items)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jc w:val="center"/>
              <w:ind w:left="1294"/>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2025, the Company incurred charges as follows:</w:t>
      </w:r>
    </w:p>
    <w:p>
      <w:pPr>
        <w:spacing w:after="0" w:line="115" w:lineRule="exact"/>
        <w:rPr>
          <w:sz w:val="20"/>
          <w:szCs w:val="20"/>
          <w:color w:val="auto"/>
        </w:rPr>
      </w:pPr>
    </w:p>
    <w:p>
      <w:pPr>
        <w:ind w:left="660" w:right="2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$70.8 million attributable to the Capri Acquisition. These charges include $37.4 million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recorded in interest expense and $33.4 million primarily related to professional fees recorded in SG&amp;A expense within Corporate.</w:t>
      </w:r>
    </w:p>
    <w:p>
      <w:pPr>
        <w:spacing w:after="0" w:line="52" w:lineRule="exact"/>
        <w:rPr>
          <w:sz w:val="20"/>
          <w:szCs w:val="20"/>
          <w:color w:val="auto"/>
        </w:rPr>
      </w:pPr>
    </w:p>
    <w:p>
      <w:pPr>
        <w:ind w:firstLine="275"/>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$33.4 million, increased interest expense by $37.4 million and reduced the provision for income tax by $15.8 million resulting in a net decrease in net income by $55.0 million or $0.23 per diluted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Segment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173"/>
              <w:spacing w:after="0"/>
              <w:rPr>
                <w:sz w:val="20"/>
                <w:szCs w:val="20"/>
                <w:color w:val="auto"/>
              </w:rPr>
            </w:pPr>
            <w:r>
              <w:rPr>
                <w:rFonts w:ascii="Times New Roman" w:cs="Times New Roman" w:eastAsia="Times New Roman" w:hAnsi="Times New Roman"/>
                <w:sz w:val="16"/>
                <w:szCs w:val="16"/>
                <w:color w:val="auto"/>
              </w:rPr>
              <w:t>Three Months Ended September 28, 2024</w:t>
            </w:r>
          </w:p>
        </w:tc>
        <w:tc>
          <w:tcPr>
            <w:tcW w:w="0" w:type="dxa"/>
            <w:vAlign w:val="bottom"/>
          </w:tcPr>
          <w:p>
            <w:pPr>
              <w:spacing w:after="0"/>
              <w:rPr>
                <w:sz w:val="1"/>
                <w:szCs w:val="1"/>
                <w:color w:val="auto"/>
              </w:rPr>
            </w:pPr>
          </w:p>
        </w:tc>
      </w:tr>
      <w:tr>
        <w:trPr>
          <w:trHeight w:val="226"/>
        </w:trPr>
        <w:tc>
          <w:tcPr>
            <w:tcW w:w="3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center"/>
              <w:ind w:left="1113"/>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6"/>
                <w:szCs w:val="16"/>
                <w:color w:val="auto"/>
              </w:rPr>
              <w:t>GAAP Basis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Acquisition Costs</w:t>
            </w:r>
          </w:p>
        </w:tc>
        <w:tc>
          <w:tcPr>
            <w:tcW w:w="180" w:type="dxa"/>
            <w:vAlign w:val="bottom"/>
          </w:tcPr>
          <w:p>
            <w:pPr>
              <w:spacing w:after="0"/>
              <w:rPr>
                <w:sz w:val="13"/>
                <w:szCs w:val="13"/>
                <w:color w:val="auto"/>
              </w:rPr>
            </w:pPr>
          </w:p>
        </w:tc>
        <w:tc>
          <w:tcPr>
            <w:tcW w:w="1460" w:type="dxa"/>
            <w:vAlign w:val="bottom"/>
          </w:tcPr>
          <w:p>
            <w:pPr>
              <w:jc w:val="right"/>
              <w:ind w:right="153"/>
              <w:spacing w:after="0" w:line="155" w:lineRule="exact"/>
              <w:rPr>
                <w:sz w:val="20"/>
                <w:szCs w:val="20"/>
                <w:color w:val="auto"/>
              </w:rPr>
            </w:pPr>
            <w:r>
              <w:rPr>
                <w:rFonts w:ascii="Times New Roman" w:cs="Times New Roman" w:eastAsia="Times New Roman" w:hAnsi="Times New Roman"/>
                <w:sz w:val="16"/>
                <w:szCs w:val="16"/>
                <w:color w:val="auto"/>
              </w:rPr>
              <w:t>Non-GAAP Basis</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(Excluding Items)</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(millions)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8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Quarter of Fiscal 2026</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Net sales for the first quarter of fiscal 2026 compared to the first quarter of fiscal 2025 has been presented both including and excluding currency fluctuation effects. All percentages shown in the tables below and the discussion that follows have been calculated using unrounded numbers.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Weitzman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made certain changes to the composition of segment information effective in the first quarter of fiscal 2026 as a result of the sale of Stuart Weitzman on August 4, 2025. As of the first quarter of fiscal 2026, the Company's reportable segments are Coach and Kate Spade. For the first quarter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three months ended September 27, 2025. For the first quarter of fiscal 2025, Stuart Weitzman Net sales were $53.7 million, Gross profit was $29.2 million and SG&amp;A expenses were $36.6 million resulting in an Operating loss of $7.4 million. These results were not considered as Items Affecting Comparability in the three months ended September 28,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17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3"/>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259.2</w:t>
            </w: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22.1 %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(23.0)</w:t>
            </w:r>
          </w:p>
        </w:tc>
        <w:tc>
          <w:tcPr>
            <w:tcW w:w="6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(39.1)</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197.1</w:t>
            </w:r>
          </w:p>
        </w:tc>
        <w:tc>
          <w:tcPr>
            <w:tcW w:w="6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first quarter of fiscal 2026 increased 13.1% or $197.1 million to $1.70 billion. Excluding the impact of the Stuart Weitzman Business and foreign currency, net sales increased by 15.5% or $225.6 million.</w:t>
      </w:r>
    </w:p>
    <w:p>
      <w:pPr>
        <w:spacing w:after="0" w:line="52" w:lineRule="exact"/>
        <w:rPr>
          <w:sz w:val="20"/>
          <w:szCs w:val="20"/>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22.1% or $259.2 million to $1.43 billion in the first quarter of fiscal 2026.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increased 21.3% or $249.9 million. This increase in Net sales was primarily due to an increase of $222.7 million in DTC sales as a result of an increase in both store sales and e-commerce, mainly driven by North America, Greater China and Europe.</w:t>
      </w:r>
    </w:p>
    <w:p>
      <w:pPr>
        <w:spacing w:after="0" w:line="6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8.1% or $23.0 million to $260.2 million in the first quarter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8.6% or $24.3 million. This decrease in Net sales was primarily due to a decrease of $28.1 million in DTC sales as a result of lower store and e-commerce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September 28, 2024</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78.8 %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78.3 %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increased 14.6% or $165.6 million to $1.30 billion in the first quarter of fiscal 2026 from $1.13 billion in the first quarter of fiscal 2025. Gross margin increased 100 basis points to 76.3% in the first quarter of fiscal 2026 from 75.3% in the first quarter of fiscal 2025. Excluding items affecting comparability, Gross margin increased 120 basis points to 76.5% in the first quarter of fiscal 2026 from 75.3% in the first quarter of fiscal 2025, which includes a 70 basis point benefit from the divestiture of Stuart Weitzman. The remaining 50 basis point increase in Gross margin was primarily attributed to net pricing improvements, partially offset by the impact of higher tariffs and unfavorable currency impacts. Refer to "Current Macroeconomic Conditions and Outlook" for further information.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September 28, 2024</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Coach</w:t>
            </w:r>
            <w:r>
              <w:rPr>
                <w:rFonts w:ascii="Times New Roman" w:cs="Times New Roman" w:eastAsia="Times New Roman" w:hAnsi="Times New Roman"/>
                <w:sz w:val="23"/>
                <w:szCs w:val="23"/>
                <w:b w:val="1"/>
                <w:bCs w:val="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44.7 %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30"/>
        </w:trPr>
        <w:tc>
          <w:tcPr>
            <w:tcW w:w="2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5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2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972.3</w:t>
            </w:r>
          </w:p>
        </w:tc>
        <w:tc>
          <w:tcPr>
            <w:tcW w:w="15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5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increased 10.1% or $89.4 million to $972.3 million in the first quarter of fiscal 2026 as compared to $882.9 million in the first quarter of fiscal 2025. As a percentage of net sales, SG&amp;A expenses decreased to 57.0% during the first quarter of fiscal 2026 from 58.6% during the first quarter of fiscal 2025. Excluding items affecting comparability in the first quarter of fiscal 2026, SG&amp;A expenses increased 10.5% or $89.4 million to $938.9 million from $849.5 million in the first quarter of fiscal 2025. SG&amp;A as a percentage of net sales decreased 80 basis points to 55.6% compared to 56.4% during the first quarter of fiscal 2025, which includes a 40 basis point benefit from the divestiture of Stuart Weitzman. The remaining 40 basis point decrease in SG&amp;A as a percentage of net sales was primarily due to leverage of fixed costs on higher net sales, partially offset by higher marketing spend.</w:t>
      </w:r>
    </w:p>
    <w:p>
      <w:pPr>
        <w:spacing w:after="0" w:line="79" w:lineRule="exact"/>
        <w:rPr>
          <w:sz w:val="20"/>
          <w:szCs w:val="20"/>
          <w:color w:val="auto"/>
        </w:rPr>
      </w:pPr>
    </w:p>
    <w:p>
      <w:pPr>
        <w:jc w:val="both"/>
        <w:ind w:left="340" w:hanging="332"/>
        <w:spacing w:after="0" w:line="235"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20.4% or $107.9 million to $637.4 million in the first quarter of fiscal 2026 as compared to $529.5 million in the first quarter of fiscal 2025. SG&amp;A as a percentage of net sales decreased 70 basis points to 44.6% in the first quarter of fiscal 2026 as compared to 45.3% in the first quarter of fiscal 2025.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decreased 1.0% or $1.6 million to $161.0 million in the first quarter of fiscal 2026 as compared to $162.6 million in the first quarter of fiscal 2025. SG&amp;A as a percentage of net sales increased approximately 460 basis points to 61.9% in the first quarter of fiscal 2026 as compared to 57.3% in the first quarter of fiscal 2025.</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16.3% or $19.7 million to $140.5 million in the first quarter of fiscal 2026 as compared to $120.8 million in the first quarter of fiscal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ind w:left="320" w:hanging="312"/>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September 28, 2024</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5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increased $76.2 million to $328.2 million in the first quarter of fiscal 2026 as compared to $252.0 million in the first quarter of fiscal 2025. Operating margin increased to 19.3% in the first quarter of fiscal 2026 as compared to 16.7% in the first quarter of fiscal 2025. Excluding items affecting comparability, operating income increased $68.5 million to $353.9 million in the first quarter of fiscal 2026 from $285.4 million in the first quarter of fiscal 2025. Operating margin increased 200 basis points to 20.9% in the first quarter of fiscal 2026 as compared to 18.9% in the first quarter of fiscal 2025, which includes a 110 basis point benefit from the divestiture of Stuart Weitzman. The remaining 90 basis point increase in operating margin was primarily attributed to a 50 basis point increase in Gross margin and a 40 basis point decrease in SG&amp;A as a percentage of sales.</w:t>
      </w:r>
    </w:p>
    <w:p>
      <w:pPr>
        <w:spacing w:after="0" w:line="77" w:lineRule="exact"/>
        <w:rPr>
          <w:sz w:val="20"/>
          <w:szCs w:val="20"/>
          <w:color w:val="auto"/>
        </w:rPr>
      </w:pPr>
    </w:p>
    <w:p>
      <w:pPr>
        <w:jc w:val="both"/>
        <w:ind w:left="660" w:hanging="328"/>
        <w:spacing w:after="0" w:line="258"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$100.8 million to $487.4 million in the first quarter of fiscal 2026. Operating margin increased to 34.1%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2026 as compared to 33.0% in the first quarter of fiscal 2025. Excluding items affecting comparability, operating income increased $102.0 million to $488.6 million in the first quarter of fiscal 2026 from $386.6 million in the first quarter of fiscal 2025; and operating margin increased 120 basis points to 34.2% in the first quarter of fiscal 2026 as compared to 33.0% in the first quarter of fiscal 2025. This increase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50 basis points mainly due to net pricing improvements, partially offset by unfavorable currency impacts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higher tariffs;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decreased 70 basis points mainly due to leverage of fixed costs on higher net sales,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higher marketing spend.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$21.4 million to $5.6 million in the first quarter of fiscal 2026. Operating margin decreased to 2.1%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fiscal 2026 as compared to 9.6% in the first quarter of fiscal 2025. Excluding items affecting comparability, operating income decreased $21.2 million to $5.8 million in the first quarter of fiscal 2026 from $27.0 million in the first quarter of fiscal 2025; and operating margin decreased approximately 740 basis points to 2.2% in the first quarter of fiscal 2026 as compared to 9.6% in the first quarter of fiscal 2025. This decrease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decreased 290 basis points mainly due to the impact of higher tariffs and unfavorable channel mix, partially offset by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improvements;</w:t>
      </w:r>
    </w:p>
    <w:p>
      <w:pPr>
        <w:spacing w:after="0" w:line="5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approximately 460 basis points mainly driven by higher marketing spend.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increased 6.3% or $9.6 million to $163.8 million in the first quarter of fiscal 2026.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increased $19.7 million to $140.5 million from $120.8 million in the first quarter of fiscal 2025. This increase in operating expenses was primarily attributed to higher professional fees and higher compensation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expense decreased $17.9 million to $12.8 million in the first quarter of fiscal 2026 as compared to $30.7 million in the first quarter of fiscal 2025. Excluding items affecting comparability, net interest expense increased $19.6 million to $12.9 million from interest income of $6.7 million in the first quarter of fiscal 2025. This increase in Interest expense, net, was mainly due to an increase in interest expense as a result of the issuance of the 2030 and 2035 Senior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decreased $1.1 million to $3.3 million in the first quarter of fiscal 2026 as compared to Other income of $4.4 million in the first quarter of fiscal 2025. Excluding items affecting comparability, Other income decreased $1.0 million to $3.4 million as compared to Other income of $4.4 million in the first quarter of fiscal 2025. This decrease in other income was related to a decrease in foreign exchange gains.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was 13.8% in the first quarter of fiscal 2026 as compared to 17.3% in the first quarter of fiscal 2025. Excluding items affecting comparability, the effective tax rate was 13.7% in the first quarter of fiscal 2026 as compared to 18.5% in the first quarter of fiscal 2025. The decrease in effective tax rate was primarily attributable to the excess tax windfall related to share-based compensation awards partially offset by the geographical mix of earnings.</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47.2% or $88.2 million to $274.8 million in the first quarter of fiscal 2026 as compared to $186.6 million in the first quarter of fiscal 2025. Excluding items affecting comparability, net income increased $55.5 million to $297.1 million in the first quarter of fiscal 2026 from $241.6 million in the first quarter of fiscal 2025.</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$1.28 in the first quarter of fiscal 2026 as compared to net income per diluted share of $0.79 in the first quarter of fiscal 2025. Excluding items affecting comparability, net income per diluted share increased $0.36 to $1.38 in the first quarter of fiscal 2026 from $1.02 in the first quarter of fiscal 2025, primarily due to higher net income and a decrease in shares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SG&amp;A expenses, operating income, interest expense, other expense (income), provision for income taxes, net income and earnings per diluted share in the first quarter of fiscal 2026 and fiscal 2025 reflect certain items affecting comparability, including the impact of the Acquisition and Divestiture and Organizational Efficiency Costs. As a supplement to the Company's reported results, these measures are also reported on a non-GAAP basis to exclude the impact of these items along with a reconciliation to the most directly comparable GAAP measures.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Divestiture items which consist of non-recurring costs, related to the Stuart Weitzman Business Divestiture, inclusive of professional fees, one-time severance costs, compensation costs and operating net loss. The Company also incurred Organizational Efficiency Costs which consist of non-recurring costs, primarily from various initiatives aimed at streamlining the organization and optimizing processes. These costs mainly include one-time technology and severance related charges.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6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Pr>
          <w:p>
            <w:pPr>
              <w:spacing w:after="0"/>
              <w:rPr>
                <w:sz w:val="14"/>
                <w:szCs w:val="14"/>
                <w:color w:val="auto"/>
              </w:rPr>
            </w:pPr>
          </w:p>
        </w:tc>
        <w:tc>
          <w:tcPr>
            <w:tcW w:w="1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6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84"/>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by $380.5 million in the first quarter of fiscal 2026 as compared to an increase of $320.9 million in the first quarter of fiscal 2025, as discussed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$6.9 million primarily due to changes in operating assets and liabilities of $169.4 million, higher impact of non-cash adjustments of $74.3 million, as well as higher net income of $88.2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$169.4 million decrease in changes in operating asset and liability balances were primarily driven by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Accrued liabilities were a use of cash of $71.1 million in the first quarter of fiscal 2026 compared to a source of cash of $32.0 million in the first quarter of fiscal 2025, primarily driven by a decrease in accrued interest due to repayment of the Capri Acquisition Senior Notes, partially offset by an increase in accrued duty driven by higher tariffs.</w:t>
      </w:r>
    </w:p>
    <w:p>
      <w:pPr>
        <w:spacing w:after="0" w:line="6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were a source of cash of $33.8 million in the first quarter of fiscal 2026 compared to a source of cash of $92.9 million in the first quarter of fiscal 2025, primarily driven by lower in-transit inventory and receipts.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first quarter of fiscal 2026 was $69.3 million as compared to a source of cash of $190.1 million in the first quarter of fiscal 2025, resulting in a $120.8 million decrease in net cash provided by investing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$69.3 million source of cash in the first quarter of fiscal 2026 was primarily due to proceeds from the divestiture of the Stuart Weitzman business of $109.6 million, partially offset by purchases of property and equipment of $32.4 million.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$190.1 million source of cash in the first quarter of fiscal 2025 was primarily due to maturities and sales of investments of $1.69 billion, partially offset by purchases of investments of $1.48 billion, mainly related to the proceeds of the Capri Acquisition Senior Notes.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$550.8 million in the first quarter of fiscal 2026 as compared to a use of cash of $74.5 million in the first quarter of fiscal 2025, resulting in a net increase in use of cash for financing activities of $476.3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$550.8 million of cash used in the first quarter of fiscal 2026 was primarily due to repurchase of common stock of $698.2 million, partially offset by proceeds from commercial paper, net of $240.0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$74.5 million of cash used in the first quarter of fiscal 2025 was primarily due to dividend payments of $81.4 million and taxes paid to net settle share-based awards of $34.5 million, partially offset by proceeds from share-based awards of $41.7 million.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was $(11.6) million as compared to $85.8 million in the first quarter of fiscal 2025. The $97.4 million decrease primarily relates to the currency impact of the United States Dollar against the Euro on the Euro-denominated Capri Acquisition Senior Notes which were redeemed during the second quarter of fiscal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84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September 27, 2025 and June 28, 2025:</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2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21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21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6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9"/>
        </w:trPr>
        <w:tc>
          <w:tcPr>
            <w:tcW w:w="6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1"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27, 2025, approximately 39.6% of our cash and short-term investments were held outside the United States.</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September 27,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w w:val="99"/>
              </w:rPr>
              <w:t>Borrowings Outstanding</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 Availability</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Amended Revolving Credit Facility and Commercial</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240.0</w:t>
            </w:r>
          </w:p>
        </w:tc>
        <w:tc>
          <w:tcPr>
            <w:tcW w:w="2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1,760.0</w:t>
            </w:r>
          </w:p>
        </w:tc>
        <w:tc>
          <w:tcPr>
            <w:tcW w:w="0" w:type="dxa"/>
            <w:vAlign w:val="bottom"/>
          </w:tcPr>
          <w:p>
            <w:pPr>
              <w:spacing w:after="0"/>
              <w:rPr>
                <w:sz w:val="1"/>
                <w:szCs w:val="1"/>
                <w:color w:val="auto"/>
              </w:rPr>
            </w:pPr>
          </w:p>
        </w:tc>
      </w:tr>
      <w:tr>
        <w:trPr>
          <w:trHeight w:val="240"/>
        </w:trPr>
        <w:tc>
          <w:tcPr>
            <w:tcW w:w="45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Paper Program</w:t>
            </w:r>
            <w:r>
              <w:rPr>
                <w:rFonts w:ascii="Times New Roman" w:cs="Times New Roman" w:eastAsia="Times New Roman" w:hAnsi="Times New Roman"/>
                <w:sz w:val="23"/>
                <w:szCs w:val="23"/>
                <w:b w:val="1"/>
                <w:bCs w:val="1"/>
                <w:color w:val="auto"/>
                <w:vertAlign w:val="superscript"/>
              </w:rPr>
              <w:t>(1)(2)</w:t>
            </w:r>
          </w:p>
        </w:tc>
        <w:tc>
          <w:tcPr>
            <w:tcW w:w="260" w:type="dxa"/>
            <w:vAlign w:val="bottom"/>
            <w:vMerge w:val="continue"/>
            <w:shd w:val="clear" w:color="auto" w:fill="CCEEFF"/>
          </w:tcPr>
          <w:p>
            <w:pPr>
              <w:spacing w:after="0"/>
              <w:rPr>
                <w:sz w:val="20"/>
                <w:szCs w:val="20"/>
                <w:color w:val="auto"/>
              </w:rPr>
            </w:pPr>
          </w:p>
        </w:tc>
        <w:tc>
          <w:tcPr>
            <w:tcW w:w="19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2180" w:type="dxa"/>
            <w:vAlign w:val="bottom"/>
            <w:vMerge w:val="continue"/>
            <w:shd w:val="clear" w:color="auto" w:fill="CCEEFF"/>
          </w:tcPr>
          <w:p>
            <w:pPr>
              <w:spacing w:after="0"/>
              <w:rPr>
                <w:sz w:val="20"/>
                <w:szCs w:val="20"/>
                <w:color w:val="auto"/>
              </w:rPr>
            </w:pPr>
          </w:p>
        </w:tc>
        <w:tc>
          <w:tcPr>
            <w:tcW w:w="2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(1)(3)</w:t>
            </w:r>
          </w:p>
        </w:tc>
        <w:tc>
          <w:tcPr>
            <w:tcW w:w="2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200" w:type="dxa"/>
            <w:vAlign w:val="bottom"/>
          </w:tcPr>
          <w:p>
            <w:pPr>
              <w:spacing w:after="0"/>
              <w:rPr>
                <w:sz w:val="24"/>
                <w:szCs w:val="24"/>
                <w:color w:val="auto"/>
              </w:rPr>
            </w:pPr>
          </w:p>
        </w:tc>
        <w:tc>
          <w:tcPr>
            <w:tcW w:w="21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16.8</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79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41"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77"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Borrowings under the Commercial Paper Program are supported by the Amended Revolving Credit Facility. Accordingly, aggregate borrowings outstanding under the Commercial Paper Program and the Amended Revolving Credit Facility will not exceed $2.00 billion.</w:t>
      </w:r>
    </w:p>
    <w:p>
      <w:pPr>
        <w:spacing w:after="0" w:line="60" w:lineRule="exact"/>
        <w:rPr>
          <w:rFonts w:ascii="Times New Roman" w:cs="Times New Roman" w:eastAsia="Times New Roman" w:hAnsi="Times New Roman"/>
          <w:sz w:val="23"/>
          <w:szCs w:val="23"/>
          <w:color w:val="auto"/>
          <w:vertAlign w:val="superscript"/>
        </w:rPr>
      </w:pPr>
    </w:p>
    <w:p>
      <w:pPr>
        <w:ind w:left="300" w:hanging="292"/>
        <w:spacing w:after="0"/>
        <w:tabs>
          <w:tab w:leader="none" w:pos="30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Renminbi.</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Amended Revolving Credit Facility is adequately diversified with no undue concentrations in any one financial institution. As of September 27, 2025, there were 18 financial institutions participating in the Amended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2026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During the three months ended September 27, 2025, the Company issued notes under the Commercial Paper Program with original maturities less than 3 months. As of September 27, 2025, the Company had $240.0 million of borrowings outstanding under the Commercial Paper Program with a weighted average interest rate of 4.260%. Refer to Note 11, "Debt" for further information.</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to sell the Stuart Weitzman Business for total cash consideration of $105.0 million, subject to customary adjustments. The sale was completed on August 4, 2025. Refer to Note 5, "Acquisitions and Divestitures" for further information.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capital expenditures and cloud computing implementation costs were $38.0 million. The Company expects total fiscal 2026 capital expenditures and cloud computing costs to be approximately $200.0 million. Certain cloud computing implementation costs are recognized within Prepaid expenses and Other assets on the Condensed Consolidated Balance Sheets.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Share Repurchase Program</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27, 2025, the Company repurchased $500.0 million of common stock, $238.3 million under the 2022 Share Repurchase Program and $261.7 million under the 2026 Share Repurchase Program. As of September 27, 2025, the Company had $2.74 billion of remaining repurchase authorization under the 2026 Share Repurchase Program.</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2025.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2025. As of September 27, 2025, there have been no material changes to any of the critical accounting policies.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During the fourth quarter of fiscal year 2025, the Company recorded $244.1 million of impairment charges related to goodwill for the Kate Spade reporting unit and $610.7 million of impairment charges related to the Kate Spade indefinite-lived brand intangible.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2026 from those that are expected, it is possible that an interim test, or our annual impairment test, could result in an impairment of these assets.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 "Quantitative and Qualitative Disclosures About Market Risk" in the Company’s Annual Report on Form 10-K for the fiscal year ended June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"Derivative Instruments and Hedging Activities," and Note 11, "Debt," included in Part I of this Form 10-Q for additional information.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is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first quarter of 2026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discussion of legal proceedings in Note 14, "Commitments and Contingencies," in the accompanying consolidated financial statements.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fiscal year ended June 28, 2025 for a description of certain significant risks and uncertainties to which our business, financial condition and results of operations are subject.</w:t>
      </w:r>
    </w:p>
    <w:p>
      <w:pPr>
        <w:spacing w:after="0" w:line="104" w:lineRule="exact"/>
        <w:rPr>
          <w:sz w:val="20"/>
          <w:szCs w:val="20"/>
          <w:color w:val="auto"/>
        </w:rPr>
      </w:pPr>
    </w:p>
    <w:p>
      <w:pPr>
        <w:ind w:left="980" w:right="10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12, 2022, the Company announced that its Board of Directors (the "Board") authorized a common stock repurchase program to repurchase up to $1.50 billion of its outstanding common stock (the "2022 Share Repurchase Program"). Purchases of the Company's common stock under this program were executed through open market purchases, including through purchase agreements under Rule 10b5-1.</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shares of common stock during the first quarter of fiscal 2026 related to the Company's share repurchase program: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Average Price per</w:t>
            </w: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00" w:type="dxa"/>
            <w:vAlign w:val="bottom"/>
          </w:tcPr>
          <w:p>
            <w:pPr>
              <w:spacing w:after="0"/>
              <w:rPr>
                <w:sz w:val="15"/>
                <w:szCs w:val="15"/>
                <w:color w:val="auto"/>
              </w:rPr>
            </w:pPr>
          </w:p>
        </w:tc>
        <w:tc>
          <w:tcPr>
            <w:tcW w:w="21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84"/>
        </w:trPr>
        <w:tc>
          <w:tcPr>
            <w:tcW w:w="354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172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3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29"/>
        </w:trPr>
        <w:tc>
          <w:tcPr>
            <w:tcW w:w="3540" w:type="dxa"/>
            <w:vAlign w:val="bottom"/>
            <w:gridSpan w:val="3"/>
            <w:vMerge w:val="continue"/>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Repurchased</w:t>
            </w:r>
          </w:p>
        </w:tc>
        <w:tc>
          <w:tcPr>
            <w:tcW w:w="400" w:type="dxa"/>
            <w:vAlign w:val="bottom"/>
          </w:tcPr>
          <w:p>
            <w:pPr>
              <w:spacing w:after="0"/>
              <w:rPr>
                <w:sz w:val="19"/>
                <w:szCs w:val="19"/>
                <w:color w:val="auto"/>
              </w:rPr>
            </w:pPr>
          </w:p>
        </w:tc>
        <w:tc>
          <w:tcPr>
            <w:tcW w:w="128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Plans or Programs</w:t>
            </w:r>
            <w:r>
              <w:rPr>
                <w:rFonts w:ascii="Times New Roman" w:cs="Times New Roman" w:eastAsia="Times New Roman" w:hAnsi="Times New Roman"/>
                <w:sz w:val="23"/>
                <w:szCs w:val="23"/>
                <w:b w:val="1"/>
                <w:bCs w:val="1"/>
                <w:color w:val="auto"/>
                <w:w w:val="96"/>
                <w:vertAlign w:val="superscript"/>
              </w:rPr>
              <w:t>(1)</w:t>
            </w:r>
          </w:p>
        </w:tc>
        <w:tc>
          <w:tcPr>
            <w:tcW w:w="200" w:type="dxa"/>
            <w:vAlign w:val="bottom"/>
          </w:tcPr>
          <w:p>
            <w:pPr>
              <w:spacing w:after="0"/>
              <w:rPr>
                <w:sz w:val="19"/>
                <w:szCs w:val="19"/>
                <w:color w:val="auto"/>
              </w:rPr>
            </w:pPr>
          </w:p>
        </w:tc>
        <w:tc>
          <w:tcPr>
            <w:tcW w:w="210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190"/>
        </w:trPr>
        <w:tc>
          <w:tcPr>
            <w:tcW w:w="2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tc>
        <w:tc>
          <w:tcPr>
            <w:tcW w:w="2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2025 - August 2, 2025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3, 2025 - August 30,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1,554,600</w:t>
            </w:r>
          </w:p>
        </w:tc>
        <w:tc>
          <w:tcPr>
            <w:tcW w:w="40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100.67</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1,554,600</w:t>
            </w: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230"/>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2025 - September 27,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3,164,881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108.53</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3,164,881</w:t>
            </w:r>
          </w:p>
        </w:tc>
        <w:tc>
          <w:tcPr>
            <w:tcW w:w="2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0" w:type="dxa"/>
            <w:vAlign w:val="bottom"/>
          </w:tcPr>
          <w:p>
            <w:pPr>
              <w:spacing w:after="0"/>
              <w:rPr>
                <w:sz w:val="1"/>
                <w:szCs w:val="1"/>
                <w:color w:val="auto"/>
              </w:rPr>
            </w:pPr>
          </w:p>
        </w:tc>
      </w:tr>
      <w:tr>
        <w:trPr>
          <w:trHeight w:val="223"/>
        </w:trPr>
        <w:tc>
          <w:tcPr>
            <w:tcW w:w="3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4,719,481</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4,719,481</w:t>
            </w: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35" w:lineRule="auto"/>
        <w:tabs>
          <w:tab w:leader="none" w:pos="282"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10, 2025, the remaining authorization of $561.7 million under the 2022 Share Repurchase Program was replaced by the authorization under the 2026 Share Repurchase Program. As of September 27, 2025, the Company had $2.74 billion of remaining repurchase authorization under the 2026 Share Repurchase Program.</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adoption, modification or termination of any Rule 10b5-1 plan or other trading arrangements by our directors and officers during the quarter ended September 27,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tbl>
      <w:tblPr>
        <w:tblLayout w:type="fixed"/>
        <w:tblInd w:w="172"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Rule 13(a)-14(a)/15(d)-14(a) Certification </w:t>
            </w:r>
            <w:r>
              <w:rPr>
                <w:rFonts w:ascii="Times New Roman" w:cs="Times New Roman" w:eastAsia="Times New Roman" w:hAnsi="Times New Roman"/>
                <w:sz w:val="18"/>
                <w:szCs w:val="18"/>
                <w:color w:val="000000"/>
                <w:w w:val="99"/>
              </w:rPr>
              <w:t>of the Company's Chief Executive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Company's Chief Financial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72"/>
        <w:spacing w:after="0" w:line="234"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24" w:lineRule="exact"/>
        <w:rPr>
          <w:sz w:val="20"/>
          <w:szCs w:val="20"/>
          <w:color w:val="auto"/>
        </w:rPr>
      </w:pPr>
    </w:p>
    <w:tbl>
      <w:tblPr>
        <w:tblLayout w:type="fixed"/>
        <w:tblInd w:w="152"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left="-8" w:right="3700" w:firstLine="406"/>
        <w:spacing w:after="0" w:line="587" w:lineRule="auto"/>
        <w:tabs>
          <w:tab w:leader="none" w:pos="10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32" w:hanging="232"/>
        <w:spacing w:after="0"/>
        <w:tabs>
          <w:tab w:leader="none" w:pos="2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13798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2"/>
          </w:cols>
          <w:pgMar w:left="328" w:top="1049" w:right="10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04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18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9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803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ectPr>
          <w:pgSz w:w="11900" w:h="16838" w:orient="portrait"/>
          <w:cols w:equalWidth="0" w:num="2">
            <w:col w:w="980" w:space="280"/>
            <w:col w:w="9980"/>
          </w:cols>
          <w:pgMar w:left="320" w:top="995" w:right="339" w:bottom="1440" w:gutter="0" w:footer="0" w:header="0"/>
          <w:type w:val="continuous"/>
        </w:sectPr>
      </w:pPr>
    </w:p>
    <w:bookmarkStart w:id="49" w:name="page50"/>
    <w:bookmarkEnd w:id="49"/>
    <w:p>
      <w:pPr>
        <w:ind w:left="988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32"/>
        <w:spacing w:after="0" w:line="282" w:lineRule="auto"/>
        <w:tabs>
          <w:tab w:leader="none" w:pos="9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27,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right="40" w:firstLine="332"/>
        <w:spacing w:after="0" w:line="407"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6, 2025</w:t>
      </w:r>
    </w:p>
    <w:p>
      <w:pPr>
        <w:spacing w:after="0" w:line="1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50" w:name="page51"/>
    <w:bookmarkEnd w:id="50"/>
    <w:p>
      <w:pPr>
        <w:ind w:left="988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right="20" w:firstLine="397"/>
        <w:spacing w:after="0" w:line="282" w:lineRule="auto"/>
        <w:tabs>
          <w:tab w:leader="none" w:pos="10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27,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60" w:hanging="655"/>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20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pacing w:after="0" w:line="222" w:lineRule="exact"/>
        <w:rPr>
          <w:sz w:val="20"/>
          <w:szCs w:val="20"/>
          <w:color w:val="auto"/>
        </w:rPr>
      </w:pPr>
    </w:p>
    <w:p>
      <w:pPr>
        <w:sectPr>
          <w:pgSz w:w="11900" w:h="16838" w:orient="portrait"/>
          <w:cols w:equalWidth="0" w:num="2">
            <w:col w:w="980" w:space="280"/>
            <w:col w:w="9980"/>
          </w:cols>
          <w:pgMar w:left="320" w:top="999" w:right="339" w:bottom="1440" w:gutter="0" w:footer="0" w:header="0"/>
          <w:type w:val="continuous"/>
        </w:sectPr>
      </w:pPr>
    </w:p>
    <w:p>
      <w:pPr>
        <w:spacing w:after="0" w:line="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9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Roman"/>
      <w:start w:val="1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lowerLetter"/>
      <w:start w:val="6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4"/>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
      <w:numFmt w:val="bullet"/>
      <w:start w:val="1"/>
    </w:lvl>
    <w:lvl w:ilvl="1">
      <w:lvlJc w:val="left"/>
      <w:lvlText w:val="%2"/>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2025-11-06T05:56:43Z</dcterms:created>
  <dcterms:modified xsi:type="dcterms:W3CDTF">2025-11-06T05:56:43Z</dcterms:modified>
</cp:coreProperties>
</file>