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215900</wp:posOffset>
            </wp:positionH>
            <wp:positionV relativeFrom="page">
              <wp:posOffset>729615</wp:posOffset>
            </wp:positionV>
            <wp:extent cx="7117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687705</wp:posOffset>
            </wp:positionV>
            <wp:extent cx="7117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715" cy="17145"/>
                    </a:xfrm>
                    <a:prstGeom prst="rect">
                      <a:avLst/>
                    </a:prstGeom>
                    <a:noFill/>
                  </pic:spPr>
                </pic:pic>
              </a:graphicData>
            </a:graphic>
          </wp:anchor>
        </w:drawing>
        <w:t>UNITED STATES</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106045</wp:posOffset>
            </wp:positionV>
            <wp:extent cx="3221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80645</wp:posOffset>
            </wp:positionV>
            <wp:extent cx="3221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73" w:lineRule="exact"/>
        <w:rPr>
          <w:sz w:val="24"/>
          <w:szCs w:val="24"/>
          <w:color w:val="auto"/>
        </w:rPr>
      </w:pPr>
    </w:p>
    <w:p>
      <w:pPr>
        <w:ind w:left="3640" w:right="840" w:hanging="2837"/>
        <w:spacing w:after="0" w:line="309" w:lineRule="auto"/>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28, 2024</w:t>
      </w: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57" w:lineRule="exact"/>
        <w:rPr>
          <w:sz w:val="24"/>
          <w:szCs w:val="24"/>
          <w:color w:val="auto"/>
        </w:rPr>
      </w:pPr>
    </w:p>
    <w:p>
      <w:pPr>
        <w:ind w:left="4400" w:right="840" w:hanging="3604"/>
        <w:spacing w:after="0" w:line="339" w:lineRule="auto"/>
        <w:tabs>
          <w:tab w:leader="none" w:pos="139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1-16153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29845</wp:posOffset>
            </wp:positionV>
            <wp:extent cx="3221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Tapestry,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281" w:right="339" w:bottom="1440" w:gutter="0" w:footer="0" w:header="0"/>
        </w:sectPr>
      </w:pPr>
    </w:p>
    <w:p>
      <w:pPr>
        <w:spacing w:after="0" w:line="103"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52-2242751</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66" w:lineRule="exact"/>
        <w:rPr>
          <w:sz w:val="24"/>
          <w:szCs w:val="24"/>
          <w:color w:val="auto"/>
        </w:rPr>
      </w:pPr>
    </w:p>
    <w:p>
      <w:pPr>
        <w:sectPr>
          <w:pgSz w:w="11900" w:h="16838" w:orient="portrait"/>
          <w:cols w:equalWidth="0" w:num="2">
            <w:col w:w="6120" w:space="720"/>
            <w:col w:w="4400"/>
          </w:cols>
          <w:pgMar w:left="320" w:top="1281" w:right="339" w:bottom="1440" w:gutter="0" w:footer="0" w:header="0"/>
          <w:type w:val="continuous"/>
        </w:sectPr>
      </w:pPr>
    </w:p>
    <w:p>
      <w:pPr>
        <w:ind w:left="4140"/>
        <w:spacing w:after="0"/>
        <w:rPr>
          <w:sz w:val="20"/>
          <w:szCs w:val="20"/>
          <w:color w:val="auto"/>
        </w:rPr>
      </w:pPr>
      <w:r>
        <w:rPr>
          <w:rFonts w:ascii="Times New Roman" w:cs="Times New Roman" w:eastAsia="Times New Roman" w:hAnsi="Times New Roman"/>
          <w:sz w:val="18"/>
          <w:szCs w:val="18"/>
          <w:b w:val="1"/>
          <w:bCs w:val="1"/>
          <w:color w:val="auto"/>
        </w:rPr>
        <w:t>10 Hudson Yards, New York, NY 10001</w:t>
      </w:r>
    </w:p>
    <w:p>
      <w:pPr>
        <w:spacing w:after="0" w:line="59"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5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(212) 946-8400</w:t>
      </w:r>
    </w:p>
    <w:p>
      <w:pPr>
        <w:spacing w:after="0" w:line="5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100965</wp:posOffset>
            </wp:positionV>
            <wp:extent cx="322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213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4"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3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3"/>
        </w:trPr>
        <w:tc>
          <w:tcPr>
            <w:tcW w:w="3140" w:type="dxa"/>
            <w:vAlign w:val="bottom"/>
            <w:gridSpan w:val="2"/>
            <w:vMerge w:val="continue"/>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208"/>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320" w:type="dxa"/>
            <w:vAlign w:val="bottom"/>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TPR</w:t>
            </w:r>
          </w:p>
        </w:tc>
        <w:tc>
          <w:tcPr>
            <w:tcW w:w="340" w:type="dxa"/>
            <w:vAlign w:val="bottom"/>
          </w:tcPr>
          <w:p>
            <w:pPr>
              <w:spacing w:after="0"/>
              <w:rPr>
                <w:sz w:val="18"/>
                <w:szCs w:val="18"/>
                <w:color w:val="auto"/>
              </w:rPr>
            </w:pPr>
          </w:p>
        </w:tc>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5.350% Senior Notes due 2025</w:t>
            </w:r>
          </w:p>
        </w:tc>
        <w:tc>
          <w:tcPr>
            <w:tcW w:w="2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TPR25A</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5.375% Senior Notes due 2027</w:t>
            </w:r>
          </w:p>
        </w:tc>
        <w:tc>
          <w:tcPr>
            <w:tcW w:w="2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TPR27A</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r>
        <w:trPr>
          <w:trHeight w:val="212"/>
        </w:trPr>
        <w:tc>
          <w:tcPr>
            <w:tcW w:w="3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5.875% Senior Notes due 2031</w:t>
            </w:r>
          </w:p>
        </w:tc>
        <w:tc>
          <w:tcPr>
            <w:tcW w:w="2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TPR31</w:t>
            </w: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both"/>
        <w:ind w:firstLine="159"/>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18" w:lineRule="exact"/>
        <w:rPr>
          <w:sz w:val="24"/>
          <w:szCs w:val="24"/>
          <w:color w:val="auto"/>
        </w:rPr>
      </w:pPr>
    </w:p>
    <w:p>
      <w:pPr>
        <w:jc w:val="both"/>
        <w:ind w:firstLine="159"/>
        <w:spacing w:after="0" w:line="23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9" w:lineRule="exact"/>
        <w:rPr>
          <w:sz w:val="24"/>
          <w:szCs w:val="24"/>
          <w:color w:val="auto"/>
        </w:rPr>
      </w:pPr>
    </w:p>
    <w:p>
      <w:pPr>
        <w:jc w:val="both"/>
        <w:ind w:firstLine="159"/>
        <w:spacing w:after="0" w:line="25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81" w:right="339" w:bottom="1440" w:gutter="0" w:footer="0" w:header="0"/>
          <w:type w:val="continuous"/>
        </w:sectPr>
      </w:pPr>
    </w:p>
    <w:p>
      <w:pPr>
        <w:spacing w:after="0" w:line="148" w:lineRule="exact"/>
        <w:rPr>
          <w:sz w:val="24"/>
          <w:szCs w:val="24"/>
          <w:color w:val="auto"/>
        </w:rPr>
      </w:pPr>
    </w:p>
    <w:p>
      <w:pPr>
        <w:ind w:left="20"/>
        <w:spacing w:after="0" w:line="345" w:lineRule="auto"/>
        <w:rPr>
          <w:sz w:val="20"/>
          <w:szCs w:val="20"/>
          <w:color w:val="auto"/>
        </w:rPr>
      </w:pPr>
      <w:r>
        <w:rPr>
          <w:rFonts w:ascii="Times New Roman" w:cs="Times New Roman" w:eastAsia="Times New Roman" w:hAnsi="Times New Roman"/>
          <w:sz w:val="15"/>
          <w:szCs w:val="15"/>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496" w:lineRule="exact"/>
        <w:rPr>
          <w:sz w:val="24"/>
          <w:szCs w:val="24"/>
          <w:color w:val="auto"/>
        </w:rPr>
      </w:pPr>
    </w:p>
    <w:p>
      <w:pPr>
        <w:sectPr>
          <w:pgSz w:w="11900" w:h="16838" w:orient="portrait"/>
          <w:cols w:equalWidth="0" w:num="8">
            <w:col w:w="1760" w:space="700"/>
            <w:col w:w="160" w:space="220"/>
            <w:col w:w="1740" w:space="720"/>
            <w:col w:w="160" w:space="220"/>
            <w:col w:w="1740" w:space="720"/>
            <w:col w:w="160" w:space="220"/>
            <w:col w:w="1740" w:space="720"/>
            <w:col w:w="260"/>
          </w:cols>
          <w:pgMar w:left="320" w:top="1281" w:right="339" w:bottom="1440" w:gutter="0" w:footer="0" w:header="0"/>
          <w:type w:val="continuous"/>
        </w:sectPr>
      </w:pPr>
    </w:p>
    <w:p>
      <w:pPr>
        <w:ind w:firstLine="159"/>
        <w:spacing w:after="0" w:line="23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4"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6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On October 25, 2024, the Registrant had 233,035,750 outstanding shares of common stock, which is the Registrant’s only class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709930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98425</wp:posOffset>
            </wp:positionV>
            <wp:extent cx="71177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71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73025</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 Number</w:t>
            </w:r>
          </w:p>
        </w:tc>
      </w:tr>
      <w:tr>
        <w:trPr>
          <w:trHeight w:val="206"/>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560" w:type="dxa"/>
            <w:vAlign w:val="bottom"/>
            <w:gridSpan w:val="8"/>
            <w:shd w:val="clear" w:color="auto" w:fill="CCEEFF"/>
          </w:tcPr>
          <w:p>
            <w:pPr>
              <w:jc w:val="center"/>
              <w:ind w:right="1840"/>
              <w:spacing w:after="0" w:line="206" w:lineRule="exact"/>
              <w:rPr>
                <w:sz w:val="20"/>
                <w:szCs w:val="20"/>
                <w:color w:val="auto"/>
              </w:rPr>
            </w:pPr>
            <w:r>
              <w:rPr>
                <w:rFonts w:ascii="Times New Roman" w:cs="Times New Roman" w:eastAsia="Times New Roman" w:hAnsi="Times New Roman"/>
                <w:sz w:val="18"/>
                <w:szCs w:val="18"/>
                <w:b w:val="1"/>
                <w:bCs w:val="1"/>
                <w:color w:val="auto"/>
                <w:w w:val="97"/>
              </w:rPr>
              <w:t>PART I – FINANCIAL INFORMATION (unaudited)</w:t>
            </w:r>
          </w:p>
        </w:tc>
        <w:tc>
          <w:tcPr>
            <w:tcW w:w="6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left w:val="single" w:sz="8" w:color="CCEEFF"/>
            </w:tcBorders>
            <w:shd w:val="clear" w:color="auto" w:fill="CCEEFF"/>
          </w:tcPr>
          <w:p>
            <w:pPr>
              <w:spacing w:after="0"/>
              <w:rPr>
                <w:sz w:val="17"/>
                <w:szCs w:val="17"/>
                <w:color w:val="auto"/>
              </w:rPr>
            </w:pPr>
          </w:p>
        </w:tc>
      </w:tr>
      <w:tr>
        <w:trPr>
          <w:trHeight w:val="226"/>
        </w:trPr>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86"/>
        </w:trPr>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300" w:type="dxa"/>
            <w:vAlign w:val="bottom"/>
            <w:gridSpan w:val="14"/>
            <w:shd w:val="clear" w:color="auto" w:fill="CCEEFF"/>
          </w:tcPr>
          <w:p>
            <w:pPr>
              <w:ind w:left="120"/>
              <w:spacing w:after="0" w:line="18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60" w:type="dxa"/>
            <w:vAlign w:val="bottom"/>
            <w:gridSpan w:val="2"/>
            <w:shd w:val="clear" w:color="auto" w:fill="CCEEFF"/>
          </w:tcPr>
          <w:p>
            <w:pPr>
              <w:jc w:val="center"/>
              <w:ind w:left="571"/>
              <w:spacing w:after="0" w:line="186" w:lineRule="exact"/>
              <w:rPr>
                <w:sz w:val="20"/>
                <w:szCs w:val="20"/>
                <w:color w:val="auto"/>
              </w:rPr>
            </w:pPr>
            <w:r>
              <w:rPr>
                <w:rFonts w:ascii="Times New Roman" w:cs="Times New Roman" w:eastAsia="Times New Roman" w:hAnsi="Times New Roman"/>
                <w:sz w:val="18"/>
                <w:szCs w:val="18"/>
                <w:color w:val="0000FF"/>
              </w:rPr>
              <w:t>1</w:t>
            </w:r>
          </w:p>
        </w:tc>
        <w:tc>
          <w:tcPr>
            <w:tcW w:w="660" w:type="dxa"/>
            <w:vAlign w:val="bottom"/>
            <w:tcBorders>
              <w:left w:val="single" w:sz="8" w:color="CCEEFF"/>
            </w:tcBorders>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300" w:type="dxa"/>
            <w:vAlign w:val="bottom"/>
            <w:gridSpan w:val="14"/>
          </w:tcPr>
          <w:p>
            <w:pPr>
              <w:ind w:left="12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60" w:type="dxa"/>
            <w:vAlign w:val="bottom"/>
            <w:gridSpan w:val="2"/>
          </w:tcPr>
          <w:p>
            <w:pPr>
              <w:jc w:val="center"/>
              <w:ind w:left="571"/>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6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60" w:type="dxa"/>
            <w:vAlign w:val="bottom"/>
            <w:gridSpan w:val="2"/>
            <w:shd w:val="clear" w:color="auto" w:fill="CCEEFF"/>
          </w:tcPr>
          <w:p>
            <w:pPr>
              <w:jc w:val="center"/>
              <w:ind w:left="571"/>
              <w:spacing w:after="0" w:line="196" w:lineRule="exact"/>
              <w:rPr>
                <w:sz w:val="20"/>
                <w:szCs w:val="20"/>
                <w:color w:val="auto"/>
              </w:rPr>
            </w:pPr>
            <w:r>
              <w:rPr>
                <w:rFonts w:ascii="Times New Roman" w:cs="Times New Roman" w:eastAsia="Times New Roman" w:hAnsi="Times New Roman"/>
                <w:sz w:val="18"/>
                <w:szCs w:val="18"/>
                <w:color w:val="0000FF"/>
              </w:rPr>
              <w:t>3</w:t>
            </w:r>
          </w:p>
        </w:tc>
        <w:tc>
          <w:tcPr>
            <w:tcW w:w="660" w:type="dxa"/>
            <w:vAlign w:val="bottom"/>
            <w:tcBorders>
              <w:left w:val="single" w:sz="8" w:color="CCEEFF"/>
            </w:tcBorders>
            <w:shd w:val="clear" w:color="auto" w:fill="CCEEFF"/>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300" w:type="dxa"/>
            <w:vAlign w:val="bottom"/>
            <w:gridSpan w:val="14"/>
          </w:tcPr>
          <w:p>
            <w:pPr>
              <w:ind w:left="120"/>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60" w:type="dxa"/>
            <w:vAlign w:val="bottom"/>
            <w:gridSpan w:val="2"/>
          </w:tcPr>
          <w:p>
            <w:pPr>
              <w:jc w:val="center"/>
              <w:ind w:left="571"/>
              <w:spacing w:after="0" w:line="186" w:lineRule="exact"/>
              <w:rPr>
                <w:sz w:val="20"/>
                <w:szCs w:val="20"/>
                <w:color w:val="auto"/>
              </w:rPr>
            </w:pPr>
            <w:r>
              <w:rPr>
                <w:rFonts w:ascii="Times New Roman" w:cs="Times New Roman" w:eastAsia="Times New Roman" w:hAnsi="Times New Roman"/>
                <w:sz w:val="18"/>
                <w:szCs w:val="18"/>
                <w:color w:val="0000FF"/>
              </w:rPr>
              <w:t>4</w:t>
            </w:r>
          </w:p>
        </w:tc>
        <w:tc>
          <w:tcPr>
            <w:tcW w:w="66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300" w:type="dxa"/>
            <w:vAlign w:val="bottom"/>
            <w:gridSpan w:val="14"/>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60" w:type="dxa"/>
            <w:vAlign w:val="bottom"/>
            <w:gridSpan w:val="2"/>
            <w:shd w:val="clear" w:color="auto" w:fill="CCEEFF"/>
          </w:tcPr>
          <w:p>
            <w:pPr>
              <w:jc w:val="center"/>
              <w:ind w:left="571"/>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660" w:type="dxa"/>
            <w:vAlign w:val="bottom"/>
            <w:tcBorders>
              <w:left w:val="single" w:sz="8" w:color="CCEEFF"/>
            </w:tcBorders>
            <w:shd w:val="clear" w:color="auto" w:fill="CCEEFF"/>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CCEEFF"/>
            </w:tcBorders>
            <w:shd w:val="clear" w:color="auto" w:fill="CCEEFF"/>
          </w:tcPr>
          <w:p>
            <w:pPr>
              <w:spacing w:after="0"/>
              <w:rPr>
                <w:sz w:val="3"/>
                <w:szCs w:val="3"/>
                <w:color w:val="auto"/>
              </w:rPr>
            </w:pPr>
          </w:p>
        </w:tc>
      </w:tr>
      <w:tr>
        <w:trPr>
          <w:trHeight w:val="196"/>
        </w:trPr>
        <w:tc>
          <w:tcPr>
            <w:tcW w:w="152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2"/>
          </w:tcPr>
          <w:p>
            <w:pPr>
              <w:jc w:val="center"/>
              <w:ind w:left="491"/>
              <w:spacing w:after="0" w:line="186" w:lineRule="exact"/>
              <w:rPr>
                <w:sz w:val="20"/>
                <w:szCs w:val="20"/>
                <w:color w:val="auto"/>
              </w:rPr>
            </w:pPr>
            <w:r>
              <w:rPr>
                <w:rFonts w:ascii="Times New Roman" w:cs="Times New Roman" w:eastAsia="Times New Roman" w:hAnsi="Times New Roman"/>
                <w:sz w:val="18"/>
                <w:szCs w:val="18"/>
                <w:color w:val="0000FF"/>
                <w:w w:val="99"/>
              </w:rPr>
              <w:t>28</w:t>
            </w:r>
          </w:p>
        </w:tc>
        <w:tc>
          <w:tcPr>
            <w:tcW w:w="660" w:type="dxa"/>
            <w:vAlign w:val="bottom"/>
          </w:tcPr>
          <w:p>
            <w:pPr>
              <w:spacing w:after="0"/>
              <w:rPr>
                <w:sz w:val="17"/>
                <w:szCs w:val="17"/>
                <w:color w:val="auto"/>
              </w:rPr>
            </w:pPr>
          </w:p>
        </w:tc>
      </w:tr>
      <w:tr>
        <w:trPr>
          <w:trHeight w:val="216"/>
        </w:trPr>
        <w:tc>
          <w:tcPr>
            <w:tcW w:w="15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340" w:type="dxa"/>
            <w:vAlign w:val="bottom"/>
            <w:tcBorders>
              <w:top w:val="single" w:sz="8" w:color="0000FF"/>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gridSpan w:val="2"/>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41</w:t>
            </w:r>
          </w:p>
        </w:tc>
        <w:tc>
          <w:tcPr>
            <w:tcW w:w="660" w:type="dxa"/>
            <w:vAlign w:val="bottom"/>
            <w:tcBorders>
              <w:left w:val="single" w:sz="8" w:color="CCEEFF"/>
            </w:tcBorders>
            <w:shd w:val="clear" w:color="auto" w:fill="CCEEFF"/>
          </w:tcPr>
          <w:p>
            <w:pPr>
              <w:spacing w:after="0"/>
              <w:rPr>
                <w:sz w:val="18"/>
                <w:szCs w:val="18"/>
                <w:color w:val="auto"/>
              </w:rPr>
            </w:pPr>
          </w:p>
        </w:tc>
      </w:tr>
      <w:tr>
        <w:trPr>
          <w:trHeight w:val="196"/>
        </w:trPr>
        <w:tc>
          <w:tcPr>
            <w:tcW w:w="1520" w:type="dxa"/>
            <w:vAlign w:val="bottom"/>
            <w:tcBorders>
              <w:top w:val="single" w:sz="8" w:color="CCEEFF"/>
            </w:tcBorders>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4220" w:type="dxa"/>
            <w:vAlign w:val="bottom"/>
            <w:tcBorders>
              <w:top w:val="single" w:sz="8" w:color="0000FF"/>
            </w:tcBorders>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4080" w:type="dxa"/>
            <w:vAlign w:val="bottom"/>
            <w:tcBorders>
              <w:top w:val="single" w:sz="8" w:color="CCEEFF"/>
            </w:tcBorders>
            <w:gridSpan w:val="4"/>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41</w:t>
            </w:r>
          </w:p>
        </w:tc>
        <w:tc>
          <w:tcPr>
            <w:tcW w:w="660" w:type="dxa"/>
            <w:vAlign w:val="bottom"/>
            <w:tcBorders>
              <w:top w:val="single" w:sz="8" w:color="CCEEFF"/>
            </w:tcBorders>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tcBorders>
              <w:top w:val="single" w:sz="8" w:color="0000FF"/>
            </w:tcBorders>
            <w:shd w:val="clear" w:color="auto" w:fill="CCEEFF"/>
          </w:tcPr>
          <w:p>
            <w:pPr>
              <w:spacing w:after="0"/>
              <w:rPr>
                <w:sz w:val="20"/>
                <w:szCs w:val="20"/>
                <w:color w:val="auto"/>
              </w:rPr>
            </w:pPr>
          </w:p>
        </w:tc>
        <w:tc>
          <w:tcPr>
            <w:tcW w:w="460" w:type="dxa"/>
            <w:vAlign w:val="bottom"/>
            <w:tcBorders>
              <w:top w:val="single" w:sz="8" w:color="0000FF"/>
            </w:tcBorders>
            <w:shd w:val="clear" w:color="auto" w:fill="CCEEFF"/>
          </w:tcPr>
          <w:p>
            <w:pPr>
              <w:spacing w:after="0"/>
              <w:rPr>
                <w:sz w:val="20"/>
                <w:szCs w:val="20"/>
                <w:color w:val="auto"/>
              </w:rPr>
            </w:pPr>
          </w:p>
        </w:tc>
        <w:tc>
          <w:tcPr>
            <w:tcW w:w="300" w:type="dxa"/>
            <w:vAlign w:val="bottom"/>
            <w:tcBorders>
              <w:top w:val="single" w:sz="8" w:color="0000FF"/>
            </w:tcBorders>
            <w:shd w:val="clear" w:color="auto" w:fill="CCEEFF"/>
          </w:tcPr>
          <w:p>
            <w:pPr>
              <w:spacing w:after="0"/>
              <w:rPr>
                <w:sz w:val="20"/>
                <w:szCs w:val="20"/>
                <w:color w:val="auto"/>
              </w:rPr>
            </w:pPr>
          </w:p>
        </w:tc>
        <w:tc>
          <w:tcPr>
            <w:tcW w:w="40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0000FF"/>
            </w:tcBorders>
            <w:shd w:val="clear" w:color="auto" w:fill="CCEEFF"/>
          </w:tcPr>
          <w:p>
            <w:pPr>
              <w:spacing w:after="0"/>
              <w:rPr>
                <w:sz w:val="20"/>
                <w:szCs w:val="20"/>
                <w:color w:val="auto"/>
              </w:rPr>
            </w:pPr>
          </w:p>
        </w:tc>
        <w:tc>
          <w:tcPr>
            <w:tcW w:w="440" w:type="dxa"/>
            <w:vAlign w:val="bottom"/>
            <w:tcBorders>
              <w:top w:val="single" w:sz="8" w:color="0000FF"/>
            </w:tcBorders>
            <w:shd w:val="clear" w:color="auto" w:fill="CCEEFF"/>
          </w:tcPr>
          <w:p>
            <w:pPr>
              <w:spacing w:after="0"/>
              <w:rPr>
                <w:sz w:val="20"/>
                <w:szCs w:val="20"/>
                <w:color w:val="auto"/>
              </w:rPr>
            </w:pPr>
          </w:p>
        </w:tc>
        <w:tc>
          <w:tcPr>
            <w:tcW w:w="6560" w:type="dxa"/>
            <w:vAlign w:val="bottom"/>
            <w:gridSpan w:val="8"/>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6"/>
              </w:rPr>
              <w:t>PART II – OTHER INFORMATION</w:t>
            </w:r>
          </w:p>
        </w:tc>
        <w:tc>
          <w:tcPr>
            <w:tcW w:w="6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660" w:type="dxa"/>
            <w:vAlign w:val="bottom"/>
            <w:tcBorders>
              <w:left w:val="single" w:sz="8" w:color="CCEEFF"/>
            </w:tcBorders>
            <w:shd w:val="clear" w:color="auto" w:fill="CCEEFF"/>
          </w:tcPr>
          <w:p>
            <w:pPr>
              <w:spacing w:after="0"/>
              <w:rPr>
                <w:sz w:val="20"/>
                <w:szCs w:val="20"/>
                <w:color w:val="auto"/>
              </w:rPr>
            </w:pPr>
          </w:p>
        </w:tc>
      </w:tr>
      <w:tr>
        <w:trPr>
          <w:trHeight w:val="196"/>
        </w:trPr>
        <w:tc>
          <w:tcPr>
            <w:tcW w:w="152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gridSpan w:val="2"/>
          </w:tcPr>
          <w:p>
            <w:pPr>
              <w:jc w:val="center"/>
              <w:ind w:left="491"/>
              <w:spacing w:after="0" w:line="186" w:lineRule="exact"/>
              <w:rPr>
                <w:sz w:val="20"/>
                <w:szCs w:val="20"/>
                <w:color w:val="auto"/>
              </w:rPr>
            </w:pPr>
            <w:r>
              <w:rPr>
                <w:rFonts w:ascii="Times New Roman" w:cs="Times New Roman" w:eastAsia="Times New Roman" w:hAnsi="Times New Roman"/>
                <w:sz w:val="18"/>
                <w:szCs w:val="18"/>
                <w:color w:val="0000FF"/>
                <w:w w:val="99"/>
              </w:rPr>
              <w:t>42</w:t>
            </w:r>
          </w:p>
        </w:tc>
        <w:tc>
          <w:tcPr>
            <w:tcW w:w="660" w:type="dxa"/>
            <w:vAlign w:val="bottom"/>
          </w:tcPr>
          <w:p>
            <w:pPr>
              <w:spacing w:after="0"/>
              <w:rPr>
                <w:sz w:val="17"/>
                <w:szCs w:val="17"/>
                <w:color w:val="auto"/>
              </w:rPr>
            </w:pPr>
          </w:p>
        </w:tc>
      </w:tr>
      <w:tr>
        <w:trPr>
          <w:trHeight w:val="196"/>
        </w:trPr>
        <w:tc>
          <w:tcPr>
            <w:tcW w:w="15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000" w:type="dxa"/>
            <w:vAlign w:val="bottom"/>
            <w:gridSpan w:val="9"/>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42</w:t>
            </w:r>
          </w:p>
        </w:tc>
        <w:tc>
          <w:tcPr>
            <w:tcW w:w="660" w:type="dxa"/>
            <w:vAlign w:val="bottom"/>
            <w:tcBorders>
              <w:left w:val="single" w:sz="8" w:color="CCEEFF"/>
            </w:tcBorders>
            <w:shd w:val="clear" w:color="auto" w:fill="CCEEFF"/>
          </w:tcPr>
          <w:p>
            <w:pPr>
              <w:spacing w:after="0"/>
              <w:rPr>
                <w:sz w:val="17"/>
                <w:szCs w:val="17"/>
                <w:color w:val="auto"/>
              </w:rPr>
            </w:pPr>
          </w:p>
        </w:tc>
      </w:tr>
      <w:tr>
        <w:trPr>
          <w:trHeight w:val="40"/>
        </w:trPr>
        <w:tc>
          <w:tcPr>
            <w:tcW w:w="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6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tcBorders>
              <w:left w:val="single" w:sz="8" w:color="0000FF"/>
            </w:tcBorders>
            <w:shd w:val="clear" w:color="auto" w:fill="CCEEFF"/>
          </w:tcPr>
          <w:p>
            <w:pPr>
              <w:spacing w:after="0"/>
              <w:rPr>
                <w:sz w:val="3"/>
                <w:szCs w:val="3"/>
                <w:color w:val="auto"/>
              </w:rPr>
            </w:pPr>
          </w:p>
        </w:tc>
      </w:tr>
      <w:tr>
        <w:trPr>
          <w:trHeight w:val="196"/>
        </w:trPr>
        <w:tc>
          <w:tcPr>
            <w:tcW w:w="152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760" w:type="dxa"/>
            <w:vAlign w:val="bottom"/>
            <w:gridSpan w:val="2"/>
          </w:tcPr>
          <w:p>
            <w:pPr>
              <w:jc w:val="center"/>
              <w:ind w:left="491"/>
              <w:spacing w:after="0" w:line="186" w:lineRule="exact"/>
              <w:rPr>
                <w:sz w:val="20"/>
                <w:szCs w:val="20"/>
                <w:color w:val="auto"/>
              </w:rPr>
            </w:pPr>
            <w:r>
              <w:rPr>
                <w:rFonts w:ascii="Times New Roman" w:cs="Times New Roman" w:eastAsia="Times New Roman" w:hAnsi="Times New Roman"/>
                <w:sz w:val="18"/>
                <w:szCs w:val="18"/>
                <w:color w:val="0000FF"/>
                <w:w w:val="99"/>
              </w:rPr>
              <w:t>42</w:t>
            </w:r>
          </w:p>
        </w:tc>
        <w:tc>
          <w:tcPr>
            <w:tcW w:w="660" w:type="dxa"/>
            <w:vAlign w:val="bottom"/>
          </w:tcPr>
          <w:p>
            <w:pPr>
              <w:spacing w:after="0"/>
              <w:rPr>
                <w:sz w:val="17"/>
                <w:szCs w:val="17"/>
                <w:color w:val="auto"/>
              </w:rPr>
            </w:pPr>
          </w:p>
        </w:tc>
      </w:tr>
      <w:tr>
        <w:trPr>
          <w:trHeight w:val="216"/>
        </w:trPr>
        <w:tc>
          <w:tcPr>
            <w:tcW w:w="15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980" w:type="dxa"/>
            <w:vAlign w:val="bottom"/>
            <w:tcBorders>
              <w:top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3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42</w:t>
            </w:r>
          </w:p>
        </w:tc>
        <w:tc>
          <w:tcPr>
            <w:tcW w:w="660" w:type="dxa"/>
            <w:vAlign w:val="bottom"/>
            <w:tcBorders>
              <w:left w:val="single" w:sz="8" w:color="CCEEFF"/>
            </w:tcBorders>
            <w:shd w:val="clear" w:color="auto" w:fill="CCEEFF"/>
          </w:tcPr>
          <w:p>
            <w:pPr>
              <w:spacing w:after="0"/>
              <w:rPr>
                <w:sz w:val="18"/>
                <w:szCs w:val="18"/>
                <w:color w:val="auto"/>
              </w:rPr>
            </w:pPr>
          </w:p>
        </w:tc>
      </w:tr>
      <w:tr>
        <w:trPr>
          <w:trHeight w:val="196"/>
        </w:trPr>
        <w:tc>
          <w:tcPr>
            <w:tcW w:w="1520" w:type="dxa"/>
            <w:vAlign w:val="bottom"/>
            <w:tcBorders>
              <w:top w:val="single" w:sz="8" w:color="CCEEFF"/>
            </w:tcBorders>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FF"/>
            </w:tcBorders>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Exhibits</w:t>
            </w:r>
          </w:p>
        </w:tc>
        <w:tc>
          <w:tcPr>
            <w:tcW w:w="7020" w:type="dxa"/>
            <w:vAlign w:val="bottom"/>
            <w:tcBorders>
              <w:top w:val="single" w:sz="8" w:color="CCEEFF"/>
            </w:tcBorders>
            <w:gridSpan w:val="10"/>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43</w:t>
            </w:r>
          </w:p>
        </w:tc>
        <w:tc>
          <w:tcPr>
            <w:tcW w:w="660" w:type="dxa"/>
            <w:vAlign w:val="bottom"/>
            <w:tcBorders>
              <w:top w:val="single" w:sz="8" w:color="CCEEFF"/>
            </w:tcBorders>
          </w:tcPr>
          <w:p>
            <w:pPr>
              <w:spacing w:after="0"/>
              <w:rPr>
                <w:sz w:val="17"/>
                <w:szCs w:val="17"/>
                <w:color w:val="auto"/>
              </w:rPr>
            </w:pPr>
          </w:p>
        </w:tc>
      </w:tr>
      <w:tr>
        <w:trPr>
          <w:trHeight w:val="216"/>
        </w:trPr>
        <w:tc>
          <w:tcPr>
            <w:tcW w:w="15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FF"/>
                <w:w w:val="77"/>
              </w:rPr>
              <w:t>44</w:t>
            </w:r>
          </w:p>
        </w:tc>
        <w:tc>
          <w:tcPr>
            <w:tcW w:w="660" w:type="dxa"/>
            <w:vAlign w:val="bottom"/>
            <w:tcBorders>
              <w:left w:val="single" w:sz="8" w:color="CCEEFF"/>
            </w:tcBorders>
            <w:shd w:val="clear" w:color="auto" w:fill="CCEEFF"/>
          </w:tcPr>
          <w:p>
            <w:pPr>
              <w:spacing w:after="0"/>
              <w:rPr>
                <w:sz w:val="18"/>
                <w:szCs w:val="18"/>
                <w:color w:val="auto"/>
              </w:rPr>
            </w:pPr>
          </w:p>
        </w:tc>
      </w:tr>
      <w:tr>
        <w:trPr>
          <w:trHeight w:val="963"/>
        </w:trPr>
        <w:tc>
          <w:tcPr>
            <w:tcW w:w="20" w:type="dxa"/>
            <w:vAlign w:val="bottom"/>
            <w:tcBorders>
              <w:top w:val="single" w:sz="8" w:color="CCEEFF"/>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3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In this Form 10-Q, references to “we,” “our,” “us,” "Tapestry" and the “Company” refer to Tapestry, Inc., including consolidated subsidiaries. References to "Coach," "Kate Spade," "kate spade new york" or "Stuart Weitzman" refer only to the referenced brand.</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ON FORWARD-LOOKING INFORMATION</w:t>
      </w:r>
    </w:p>
    <w:p>
      <w:pPr>
        <w:spacing w:after="0" w:line="114"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This document, and the documents incorporated by reference in this document, our press releases and oral statements made from time to time by us or on our behalf, may contain certain "forward-looking statements" within the meaning of the federal securities laws, including Section 27A of the Securities Act of 1933, as amended, and Section 21E of the Securities Exchange Act of 1934, as amended, and are based on management's current expectations, that involve risks and uncertainties that could cause our actual results to differ materially from our current expectations. In this context, forward-looking statements often address expected future business and financial performance and financial condition, and often contain words such as "may," "can," "if," "continue," "project," "assumption," "should," "expect," "confidence," "goals," "trends," "anticipate," "intend," "estimate," "on track," "future," "well positioned to," "plan," "potential," "position," "deliver," "believe," "seek," "see," "will," "would," "uncertain," "achieve," "strategic," "growth," "target," "forecast," "outlook," "commit," "innovation," "drive," "proposed acquisition," "we can stretch what’s possible," similar expressions, and variations or negatives of these words. Forward-looking statements by their nature address matters that are, to different degrees, uncertain. Such statements involve risks, uncertainties and assumptions. If such risks or uncertainties materialize or such assumptions prove incorrect, the results of Tapestry, Inc. and its consolidated subsidiaries could differ materially from those expressed or implied by such forward-looking statements and assumptions. All statements other than statements of historical fact are statements that could be deemed forward-looking statements. Tapestry, Inc. assumes no obligation to revise or update any such forward-looking statements for any reason, except as required by law.</w:t>
      </w:r>
    </w:p>
    <w:p>
      <w:pPr>
        <w:spacing w:after="0" w:line="88"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Tapestry, Inc.’s actual results could differ materially from the results contemplated by these forward-looking statements and are subject to a number of risks, uncertainties, estimates and assumptions that may cause actual results to differ materially from current expectations due to a number of factors, including, but not limited to: (i) the impact of economic conditions, recession and inflationary measures; (ii) our exposure to international risks, including currency fluctuations and changes in economic or political conditions in the markets where we sell or source our products; (iii) our ability to retain the value of our brands and to respond to changing fashion and retail trends in a timely manner, including our ability to execute on our e-commerce and digital strategies; (iv) our ability to successfully implement the initiatives under our 2025 growth strategy; (v) the effect of existing and new competition in the marketplace; (vi) satisfaction of the conditions precedent to consummation of the proposed acquisition of Capri Holdings Limited ("Capri"), including the ability to secure regulatory approval in the United States on the terms expected, at all or in a timely manner; (vii) our ability to achieve intended benefits, cost savings and synergies from acquisitions, including our proposed acquisition of Capri; (xiii) the outcome of the antitrust lawsuit by the Federal Trade Commission against us and Capri related to the consummation of the proposed acquisition; (ix) our ability to control costs; (x) the effect of seasonal and quarterly fluctuations on our sales or operating results; (xi) the risk of cyber security threats and privacy or data security breaches; (xii) our ability to satisfy our outstanding debt obligations or incur additional indebtedness; (xiii) the risks associated with climate change and other corporate responsibility issues;</w:t>
      </w:r>
    </w:p>
    <w:p>
      <w:pPr>
        <w:spacing w:after="0" w:line="3" w:lineRule="exact"/>
        <w:rPr>
          <w:sz w:val="20"/>
          <w:szCs w:val="20"/>
          <w:color w:val="auto"/>
        </w:rPr>
      </w:pPr>
    </w:p>
    <w:p>
      <w:pPr>
        <w:jc w:val="both"/>
        <w:ind w:firstLine="6"/>
        <w:spacing w:after="0" w:line="247" w:lineRule="auto"/>
        <w:tabs>
          <w:tab w:leader="none" w:pos="3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tax and other legislation; (xv) the risks associated with potential changes to international trade agreements and the imposition of additional duties on importing our products; (xvi) our ability to protect against infringement of our trademarks and other proprietary rights; and (xvii) the impact of pending and potential future legal proceedings and (xviii) such other risk factors as set forth in Part II, Item 1A. "Risk Factors" and elsewhere in this report and in the Company’s Annual Report on Form 10-K for the fiscal year ended June 29, 2024. These factors are not necessarily all of the factors that could cause actual results to differ materially from those expressed in any of our forward-looking statements.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1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Tapestry's quarterly financial results and other important information are available by calling the Investor Relations Department at (212) 629-2618.</w:t>
      </w:r>
    </w:p>
    <w:p>
      <w:pPr>
        <w:spacing w:after="0" w:line="11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Tapestry maintains its website at </w:t>
      </w:r>
      <w:r>
        <w:rPr>
          <w:rFonts w:ascii="Times New Roman" w:cs="Times New Roman" w:eastAsia="Times New Roman" w:hAnsi="Times New Roman"/>
          <w:sz w:val="18"/>
          <w:szCs w:val="18"/>
          <w:u w:val="single" w:color="auto"/>
          <w:color w:val="auto"/>
        </w:rPr>
        <w:t>www.tapestry.com</w:t>
      </w:r>
      <w:r>
        <w:rPr>
          <w:rFonts w:ascii="Times New Roman" w:cs="Times New Roman" w:eastAsia="Times New Roman" w:hAnsi="Times New Roman"/>
          <w:sz w:val="18"/>
          <w:szCs w:val="18"/>
          <w:color w:val="auto"/>
        </w:rPr>
        <w:t xml:space="preserve"> where investors and other interested parties may obtain, free of charge, press releases and other information as well as gain access to our periodic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515620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380" w:type="dxa"/>
            <w:vAlign w:val="bottom"/>
          </w:tcPr>
          <w:p>
            <w:pPr>
              <w:spacing w:after="0"/>
              <w:rPr>
                <w:sz w:val="17"/>
                <w:szCs w:val="17"/>
                <w:color w:val="auto"/>
              </w:rPr>
            </w:pPr>
          </w:p>
        </w:tc>
        <w:tc>
          <w:tcPr>
            <w:tcW w:w="108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June 29,</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8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818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less allowances for credit losses of $7.1 and $6.9, respectively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8,803.7</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$1,262.3 and $1,263.3, respectively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13,728.9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544.0</w:t>
            </w:r>
          </w:p>
        </w:tc>
        <w:tc>
          <w:tcPr>
            <w:tcW w:w="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0" w:type="dxa"/>
            <w:vAlign w:val="bottom"/>
          </w:tcPr>
          <w:p>
            <w:pPr>
              <w:spacing w:after="0"/>
              <w:rPr>
                <w:sz w:val="1"/>
                <w:szCs w:val="1"/>
                <w:color w:val="auto"/>
              </w:rPr>
            </w:pPr>
          </w:p>
        </w:tc>
      </w:tr>
      <w:tr>
        <w:trPr>
          <w:trHeight w:val="226"/>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1,196.0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10,747.0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10,499.4</w:t>
            </w:r>
          </w:p>
        </w:tc>
        <w:tc>
          <w:tcPr>
            <w:tcW w:w="0" w:type="dxa"/>
            <w:vAlign w:val="bottom"/>
          </w:tcPr>
          <w:p>
            <w:pPr>
              <w:spacing w:after="0"/>
              <w:rPr>
                <w:sz w:val="1"/>
                <w:szCs w:val="1"/>
                <w:color w:val="auto"/>
              </w:rPr>
            </w:pPr>
          </w:p>
        </w:tc>
      </w:tr>
      <w:tr>
        <w:trPr>
          <w:trHeight w:val="159"/>
        </w:trPr>
        <w:tc>
          <w:tcPr>
            <w:tcW w:w="8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Note 14 on commitments and contingencies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(authorized 25.0 million shares; $0.01 par value per share) none issued</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8180" w:type="dxa"/>
            <w:vAlign w:val="bottom"/>
            <w:shd w:val="clear" w:color="auto" w:fill="CCEEFF"/>
          </w:tcPr>
          <w:p>
            <w:pPr>
              <w:ind w:left="220"/>
              <w:spacing w:after="0" w:line="173" w:lineRule="exact"/>
              <w:rPr>
                <w:sz w:val="20"/>
                <w:szCs w:val="20"/>
                <w:color w:val="auto"/>
              </w:rPr>
            </w:pPr>
            <w:r>
              <w:rPr>
                <w:rFonts w:ascii="Times New Roman" w:cs="Times New Roman" w:eastAsia="Times New Roman" w:hAnsi="Times New Roman"/>
                <w:sz w:val="18"/>
                <w:szCs w:val="18"/>
                <w:color w:val="auto"/>
                <w:w w:val="98"/>
              </w:rPr>
              <w:t>Common stock: (authorized 1.0 billion shares; $0.01 par value per share) issued and outstanding - 233.0 million</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230.2 million shares, respectively</w:t>
            </w:r>
          </w:p>
        </w:tc>
        <w:tc>
          <w:tcPr>
            <w:tcW w:w="1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6"/>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26"/>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2,896.9</w:t>
            </w:r>
          </w:p>
        </w:tc>
        <w:tc>
          <w:tcPr>
            <w:tcW w:w="0" w:type="dxa"/>
            <w:vAlign w:val="bottom"/>
          </w:tcPr>
          <w:p>
            <w:pPr>
              <w:spacing w:after="0"/>
              <w:rPr>
                <w:sz w:val="1"/>
                <w:szCs w:val="1"/>
                <w:color w:val="auto"/>
              </w:rPr>
            </w:pPr>
          </w:p>
        </w:tc>
      </w:tr>
      <w:tr>
        <w:trPr>
          <w:trHeight w:val="219"/>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13,728.9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13,396.3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60" w:top="1115"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0" w:type="dxa"/>
            <w:vAlign w:val="bottom"/>
          </w:tcPr>
          <w:p>
            <w:pPr>
              <w:spacing w:after="0"/>
              <w:rPr>
                <w:sz w:val="1"/>
                <w:szCs w:val="1"/>
                <w:color w:val="auto"/>
              </w:rPr>
            </w:pPr>
          </w:p>
        </w:tc>
      </w:tr>
      <w:tr>
        <w:trPr>
          <w:trHeight w:val="166"/>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60"/>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60" w:type="dxa"/>
            <w:vAlign w:val="bottom"/>
          </w:tcPr>
          <w:p>
            <w:pPr>
              <w:spacing w:after="0"/>
              <w:rPr>
                <w:sz w:val="14"/>
                <w:szCs w:val="14"/>
                <w:color w:val="auto"/>
              </w:rPr>
            </w:pPr>
          </w:p>
        </w:tc>
        <w:tc>
          <w:tcPr>
            <w:tcW w:w="1320" w:type="dxa"/>
            <w:vAlign w:val="bottom"/>
          </w:tcPr>
          <w:p>
            <w:pPr>
              <w:jc w:val="right"/>
              <w:ind w:right="131"/>
              <w:spacing w:after="0" w:line="166"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6"/>
        </w:trPr>
        <w:tc>
          <w:tcPr>
            <w:tcW w:w="7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2"/>
        </w:trPr>
        <w:tc>
          <w:tcPr>
            <w:tcW w:w="7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4"/>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0" w:type="dxa"/>
            <w:vAlign w:val="bottom"/>
          </w:tcPr>
          <w:p>
            <w:pPr>
              <w:spacing w:after="0"/>
              <w:rPr>
                <w:sz w:val="1"/>
                <w:szCs w:val="1"/>
                <w:color w:val="auto"/>
              </w:rPr>
            </w:pPr>
          </w:p>
        </w:tc>
      </w:tr>
      <w:tr>
        <w:trPr>
          <w:trHeight w:val="188"/>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26"/>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0" w:type="dxa"/>
            <w:vAlign w:val="bottom"/>
          </w:tcPr>
          <w:p>
            <w:pPr>
              <w:spacing w:after="0"/>
              <w:rPr>
                <w:sz w:val="1"/>
                <w:szCs w:val="1"/>
                <w:color w:val="auto"/>
              </w:rPr>
            </w:pP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0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235.9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80"/>
          </w:cols>
          <w:pgMar w:left="800" w:top="876" w:right="819" w:bottom="1440" w:gutter="0" w:footer="0" w:header="0"/>
        </w:sectPr>
      </w:pPr>
    </w:p>
    <w:bookmarkStart w:id="5" w:name="page6"/>
    <w:bookmarkEnd w:id="5"/>
    <w:p>
      <w:pPr>
        <w:ind w:left="512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p>
      <w:pPr>
        <w:spacing w:after="0" w:line="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166"/>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40" w:type="dxa"/>
            <w:vAlign w:val="bottom"/>
          </w:tcPr>
          <w:p>
            <w:pPr>
              <w:spacing w:after="0"/>
              <w:rPr>
                <w:sz w:val="14"/>
                <w:szCs w:val="14"/>
                <w:color w:val="auto"/>
              </w:rPr>
            </w:pPr>
          </w:p>
        </w:tc>
        <w:tc>
          <w:tcPr>
            <w:tcW w:w="1280" w:type="dxa"/>
            <w:vAlign w:val="bottom"/>
          </w:tcPr>
          <w:p>
            <w:pPr>
              <w:jc w:val="right"/>
              <w:ind w:right="171"/>
              <w:spacing w:after="0" w:line="166" w:lineRule="exact"/>
              <w:rPr>
                <w:sz w:val="20"/>
                <w:szCs w:val="20"/>
                <w:color w:val="auto"/>
              </w:rPr>
            </w:pPr>
            <w:r>
              <w:rPr>
                <w:rFonts w:ascii="Times New Roman" w:cs="Times New Roman" w:eastAsia="Times New Roman" w:hAnsi="Times New Roman"/>
                <w:sz w:val="18"/>
                <w:szCs w:val="18"/>
                <w:color w:val="auto"/>
                <w:w w:val="96"/>
              </w:rPr>
              <w:t>September 30,</w:t>
            </w:r>
          </w:p>
        </w:tc>
      </w:tr>
      <w:tr>
        <w:trPr>
          <w:trHeight w:val="236"/>
        </w:trPr>
        <w:tc>
          <w:tcPr>
            <w:tcW w:w="7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2023</w:t>
            </w:r>
          </w:p>
        </w:tc>
      </w:tr>
      <w:tr>
        <w:trPr>
          <w:trHeight w:val="182"/>
        </w:trPr>
        <w:tc>
          <w:tcPr>
            <w:tcW w:w="7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center"/>
              <w:ind w:left="101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5"/>
                <w:szCs w:val="15"/>
                <w:color w:val="auto"/>
              </w:rPr>
            </w:pPr>
          </w:p>
        </w:tc>
      </w:tr>
      <w:tr>
        <w:trPr>
          <w:trHeight w:val="188"/>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(unaudited)</w:t>
            </w:r>
          </w:p>
        </w:tc>
      </w:tr>
      <w:tr>
        <w:trPr>
          <w:trHeight w:val="24"/>
        </w:trPr>
        <w:tc>
          <w:tcPr>
            <w:tcW w:w="7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2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(losses) on cash flow hedging derivatives,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gains (losses) on available-for-sale investments,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460" w:top="876" w:right="459" w:bottom="1440" w:gutter="0" w:footer="0" w:header="0"/>
        </w:sectPr>
      </w:pPr>
    </w:p>
    <w:bookmarkStart w:id="6" w:name="page7"/>
    <w:bookmarkEnd w:id="6"/>
    <w:p>
      <w:pPr>
        <w:ind w:left="526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gridSpan w:val="4"/>
          </w:tcPr>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100"/>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300" w:type="dxa"/>
            <w:vAlign w:val="bottom"/>
          </w:tcPr>
          <w:p>
            <w:pPr>
              <w:spacing w:after="0"/>
              <w:rPr>
                <w:sz w:val="14"/>
                <w:szCs w:val="14"/>
                <w:color w:val="auto"/>
              </w:rPr>
            </w:pPr>
          </w:p>
        </w:tc>
        <w:tc>
          <w:tcPr>
            <w:tcW w:w="1340" w:type="dxa"/>
            <w:vAlign w:val="bottom"/>
          </w:tcPr>
          <w:p>
            <w:pPr>
              <w:jc w:val="right"/>
              <w:ind w:right="231"/>
              <w:spacing w:after="0" w:line="166" w:lineRule="exact"/>
              <w:rPr>
                <w:sz w:val="20"/>
                <w:szCs w:val="20"/>
                <w:color w:val="auto"/>
              </w:rPr>
            </w:pPr>
            <w:r>
              <w:rPr>
                <w:rFonts w:ascii="Times New Roman" w:cs="Times New Roman" w:eastAsia="Times New Roman" w:hAnsi="Times New Roman"/>
                <w:sz w:val="18"/>
                <w:szCs w:val="18"/>
                <w:color w:val="auto"/>
                <w:w w:val="96"/>
              </w:rPr>
              <w:t>September 30,</w:t>
            </w: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82"/>
        </w:trPr>
        <w:tc>
          <w:tcPr>
            <w:tcW w:w="7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3"/>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center"/>
              <w:ind w:left="1072"/>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OPERATING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bad debt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cloud computing arrangements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6"/>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to lease related balances,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6"/>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6"/>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INVESTING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dividends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debt</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to net settle share-based awards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Payments of finance lease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24.0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activity - property and equipment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Tapestry, Inc. (the "Company") is a house of iconic accessories and lifestyle brands. Our global house of brands unites the magic of Coach, kate spade new york and Stuart Weitzman. Each of our brands are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78"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Coach, Kate Spade and Stuart Weitzman segments include global sales of products to customers through our direct-to-consumer ("DTC"), wholesale and licensing businesses.</w:t>
      </w:r>
    </w:p>
    <w:p>
      <w:pPr>
        <w:spacing w:after="0" w:line="161" w:lineRule="exact"/>
        <w:rPr>
          <w:sz w:val="20"/>
          <w:szCs w:val="20"/>
          <w:color w:val="auto"/>
        </w:rPr>
      </w:pPr>
    </w:p>
    <w:p>
      <w:pPr>
        <w:ind w:left="320" w:right="6880" w:hanging="234"/>
        <w:spacing w:after="0" w:line="370" w:lineRule="auto"/>
        <w:tabs>
          <w:tab w:leader="none" w:pos="25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AND ORGANIZATION </w:t>
      </w:r>
      <w:r>
        <w:rPr>
          <w:rFonts w:ascii="Times New Roman" w:cs="Times New Roman" w:eastAsia="Times New Roman" w:hAnsi="Times New Roman"/>
          <w:sz w:val="18"/>
          <w:szCs w:val="18"/>
          <w:b w:val="1"/>
          <w:bCs w:val="1"/>
          <w:i w:val="1"/>
          <w:iCs w:val="1"/>
          <w:color w:val="auto"/>
        </w:rPr>
        <w:t>Interim Financial Statements</w:t>
      </w:r>
    </w:p>
    <w:p>
      <w:pPr>
        <w:spacing w:after="0" w:line="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have been prepared pursuant to the rules and regulations of the Securities and Exchange Commission ("SEC"). In the opinion of management, such condensed consolidated financial statements contain all normal and recurring adjustments necessary to present fairly the condensed consolidated financial position, results of operations, comprehensive income (loss) and cash flows of the Company for the interim periods presented. In addition, certain information and footnote disclosures normally included in financial statements prepared in accordance with accounting principles generally accepted in the U.S. ("U.S. GAAP") have been condensed or omitted from this report as is permitted by the SEC's rules and regulations. However, the Company believes that the disclosures provided herein are adequate to prevent the information presented from being misleading. This report should be read in conjunction with the audited consolidated financial statements and notes thereto, included in the Company’s Annual Report on Form 10-K for the year ended June 29, 2024 ("fiscal 2024") and other filings filed with the SEC.</w:t>
      </w:r>
    </w:p>
    <w:p>
      <w:pPr>
        <w:spacing w:after="0" w:line="81"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results of operations, cash flows and comprehensive income for the three months ended September 28, 2024 are not necessarily indicative of results to be expected for the entire fiscal year, which will end on June 28, 2025 ("fiscal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Saturday closest to June 30. Fiscal 2025 will be a 52-week period. Fiscal 2024, ended on June 29, 2024, was also a 52-week period. The first quarter of fiscal 2025 ended on September 28, 2024 and the first quarter of fiscal 2024 ended on September 30, 2023, both of which were 13-week periods.</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footnotes thereto. Actual results could differ from estimates in amounts that may be material to the financial statements.</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Significant estimates inherent in the preparation of the condensed consolidated financial statements include reserves for the realizability of inventory; asset retirement obligations; customer returns, end-of-season markdowns and operational chargebacks; useful lives and impairments of long-lived tangible and intangible assets; accounting for income taxes and related uncertain tax positions; accounting for business combinations; the valuation of stock-based compensation awards and related expected forfeiture rates; reserves for restructuring; and reserves for litigation and other contingencies, amongst others.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include the accounts of the Company and all 100% owned and controlled subsidiaries. All intercompany transactions and balances are eliminated in consolidation.</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accounts for stock repurchases by allocating the repurchase price to common stock and retained earnings. Under Maryland law, the Company's state of incorporation, there are no treasury shares. All repurchased shares are authorized but unissued shares; these shares may be issued in the future for general corporate and other purposes. The Company may terminate or limit the stock repurchase program at any time. The Company accrues for the shares purchased under the share repurchase plan based on the trade date. Purchases of the Company's common stock are executed through open market purchases, including through purchase agreements under Rule 10b5-1. Excise tax on net share repurchases are recorded in Retained earnings as part of Stockholders' Equity.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1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To improve our working capital efficiency, the Company makes available to certain suppliers a voluntary supply chain finance (“SCF”) program that enables our suppliers to sell their receivables from the Company to a global financial institution on a non-recourse basis at a rate that leverages our credit rating. The Company does not have the ability to refinance or modify payment terms to the global financial institution through the SCF program. No guarantees are provided by the Company or any of our subsidiaries under the SCF program. The Company’s payment obligations, including the amounts due and payment terms, which generally do not exceed 90 days, are not impacted by suppliers’ participation in the program. As of September 28, 2024 and June 29, 2024, $396.4 million and $294.9 million, respectively, was related to suppliers eligible to participate in the Company's SCF program and presented within Accounts payable on the Condensed Consolidated Balance Sheets.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 reclassification has been made to the prior period's financial information to conform to the current period's presentation. Amortization expense, related to the Company’s cloud computing arrangements of $13.4 million during the three months ended September 30, 2023 has been reclassified out of Other assets and into Amortization of cloud computing arrangements within the Company’s Condensed Consolidated Statements of Cash Flows.</w:t>
      </w:r>
    </w:p>
    <w:p>
      <w:pPr>
        <w:spacing w:after="0" w:line="175" w:lineRule="exact"/>
        <w:rPr>
          <w:sz w:val="20"/>
          <w:szCs w:val="20"/>
          <w:color w:val="auto"/>
        </w:rPr>
      </w:pPr>
    </w:p>
    <w:p>
      <w:pPr>
        <w:ind w:left="320" w:right="7160" w:hanging="234"/>
        <w:spacing w:after="0" w:line="392" w:lineRule="auto"/>
        <w:tabs>
          <w:tab w:leader="none" w:pos="258"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b w:val="1"/>
          <w:bCs w:val="1"/>
          <w:i w:val="1"/>
          <w:iCs w:val="1"/>
          <w:color w:val="auto"/>
        </w:rPr>
        <w:t>Recently Issued Accounting Pronouncements</w:t>
      </w:r>
    </w:p>
    <w:p>
      <w:pPr>
        <w:spacing w:after="0" w:line="1"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In November 2023, the Financial Accounting Standards Board (the "FASB") issued ASU No. 2023-07, "Segment Reporting (Topic 280): Improvements to Reportable Segment Disclosures", which is intended to improve reportable segment disclosure requirements, primarily through enhanced disclosures about significant segment expenses. The amendments will require public entities to disclose significant segment expenses that are regularly provided to the chief operating decision maker and included within segment profit and loss. The amendments will be effective for the Company's annual reporting periods beginning in fiscal year 2025 and for interim periods beginning in fiscal year 2026, with early adoption permitted, and will be applied retrospectively to all prior periods presented in the financial statements. The Company is currently evaluating the ASU to determine its impact on the Company's disclosures.</w:t>
      </w:r>
    </w:p>
    <w:p>
      <w:pPr>
        <w:spacing w:after="0" w:line="6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the Company's annual periods beginning in fiscal year 2026, with early adoption permitted, and should be applied either prospectively or retrospectively. The Company is currently evaluating the ASU to determine its impact on the Company's disclosures.</w:t>
      </w:r>
    </w:p>
    <w:p>
      <w:pPr>
        <w:spacing w:after="0" w:line="1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 recognizes revenue primarily from sales of the products of its brands through our DTC business which includes our retail stores and e-commerce sites, along with our wholesale business. The Company also generates revenue from royalties related to licensing its trademarks, as well as sales in ancillary business channels. In all cases, revenue is recognized upon the transfer of control of the promised products or services to the customer, which may be at a point in time or over time. Control is transferred when the customer obtains the ability to direct the use of and obtain substantially all of the remaining benefits from the products or services. The amount of revenue recognized is the amount of consideration to which the Company expects to be entitled, including estimation of sale terms that may create variability in the consideration. Revenue subject to variability is constrained to an amount which will not result in a significant reversal in future periods when the contingency that creates variability is resolved.</w:t>
      </w:r>
    </w:p>
    <w:p>
      <w:pPr>
        <w:spacing w:after="0" w:line="78"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has elected a practical expedient not to disclose the remaining performance obligations that are unsatisfied as of the end of the period related to contracts with an original duration of one year or less or variable consideration related to sales-based royalty arrangements. There are no other contracts with transaction price allocated to remaining performance obligations other than future minimum royalties as discussed above, which are not material.</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Other practical expedients elected by the Company include (i) assuming no significant financing component exists for any contract with a duration of one year or less, (ii) accounting for shipping and handling as a fulfillment activity within SG&amp;A expense regardless of the timing of the shipment in relation to the transfer of control and (iii) excluding sales and value added tax from the transaction price.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Direct-to-Consumer</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recognizes revenue in its retail stores, including concession shop-in-shops, at the point-of-sale when the customer obtains physical possession of the products. Digital revenue from sales of products ordered through the Company's e-commerce sites is recognized upon delivery and receipt of the shipment by its customers and includes shipping and handling charges paid by customers. Retail and digital revenues are recorded net of estimated returns, which are estimated by developing an expected value based on historical experience. Payment is due at the point of sale.</w:t>
      </w:r>
    </w:p>
    <w:p>
      <w:pPr>
        <w:spacing w:after="0" w:line="7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Gift cards issued by the Company are recorded as a liability until redeemed by the customer, at which point revenue is recognized. The Company also uses historical information to estimate the amount of gift card balances that will never be redeemed and recognizes that amount as revenue over time in proportion to actual customer redemptions if the Company does not have a legal obligation to remit unredeemed gift cards to any jurisdiction as unclaimed property.</w:t>
      </w:r>
    </w:p>
    <w:p>
      <w:pPr>
        <w:spacing w:after="0" w:line="7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Certain of the Company's retail operations use sales incentive programs, such as customer loyalty programs and the issuance of coupons. Loyalty programs provide the customer a material right to acquire additional products and give rise to the Company having a separate performance obligation. Additionally, certain products sold by the Company include an assurance warranty that is not considered a separate performance obligation. These programs are immaterial individually and in the aggregate.</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116"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The Company recognizes revenue within the wholesale channel at the time title passes and risk of loss is transferred to customers, which is generally at the point of shipment of products but may occur upon receipt of the shipment by the customer in certain cases. Payment is generally due 30 to 90 days after shipment. Wholesale revenue is recorded net of estimates for returns, discounts, end-of-season markdowns, cooperative advertising allowances and other consideration provided to the customer. Discounts are based on contract terms with the customer, while cooperative advertising allowances and other consideration may be based on contract terms or negotiated on a case-by-case basis. Returns and markdowns generally require approval from the Company and are estimated based on historical trends, current season results and inventory positions at the wholesale locations, current market and economic conditions as well as, in select cases, contractual terms. The Company's historical estimates of these variable amounts have not differed materially from actual results.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Licensing</w:t>
      </w:r>
    </w:p>
    <w:p>
      <w:pPr>
        <w:spacing w:after="0" w:line="11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 recognizes licensing revenue over time during the contract period in which licensees are granted access to the Company's trademarks. These arrangements require licensees to pay a sales-based royalty and may include a contractually guaranteed minimum royalty amount. Revenue for contractually guaranteed minimum royalty amounts is recognized ratably over the license year and any excess sales-based royalties are recognized as earned once the minimum royalty threshold is achieved. Payments from the customer are generally due quarterly in an amount based on the licensee's sales of goods bearing the licensed trademarks during the period, which may differ from the amount of revenue recorded during the period thereby generating a contract asset or liability. Contract assets and liabilities and contract costs related to the licensing arrangements are immaterial as the licensing business represents approximately 1% of total net sales in the three months ended September 28,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following table disaggregates the Company's net sales into geographies that depict how economic factors may impact the revenues and cash flows for the periods presented. Each geography presented includes net sales related to the Company's directly operated channels, global travel retail business and to wholesale customers, including distributors, in locations within the specified geographic area.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4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Greater China</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 Asia</w:t>
            </w:r>
            <w:r>
              <w:rPr>
                <w:rFonts w:ascii="Times New Roman" w:cs="Times New Roman" w:eastAsia="Times New Roman" w:hAnsi="Times New Roman"/>
                <w:sz w:val="23"/>
                <w:szCs w:val="23"/>
                <w:b w:val="1"/>
                <w:bCs w:val="1"/>
                <w:color w:val="auto"/>
                <w:w w:val="95"/>
                <w:vertAlign w:val="superscript"/>
              </w:rPr>
              <w:t>(2)</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3"/>
                <w:szCs w:val="23"/>
                <w:b w:val="1"/>
                <w:bCs w:val="1"/>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6"/>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auto"/>
            </w:tcBorders>
            <w:gridSpan w:val="3"/>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w w:val="97"/>
              </w:rPr>
              <w:t>Three Months Ended September 28, 2024</w:t>
            </w:r>
          </w:p>
        </w:tc>
        <w:tc>
          <w:tcPr>
            <w:tcW w:w="10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6"/>
        </w:trPr>
        <w:tc>
          <w:tcPr>
            <w:tcW w:w="4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689.0</w:t>
            </w:r>
          </w:p>
        </w:tc>
        <w:tc>
          <w:tcPr>
            <w:tcW w:w="12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1,170.6</w:t>
            </w:r>
          </w:p>
        </w:tc>
      </w:tr>
      <w:tr>
        <w:trPr>
          <w:trHeight w:val="226"/>
        </w:trPr>
        <w:tc>
          <w:tcPr>
            <w:tcW w:w="4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r>
      <w:tr>
        <w:trPr>
          <w:trHeight w:val="226"/>
        </w:trPr>
        <w:tc>
          <w:tcPr>
            <w:tcW w:w="4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6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6"/>
        </w:trPr>
        <w:tc>
          <w:tcPr>
            <w:tcW w:w="20" w:type="dxa"/>
            <w:vAlign w:val="bottom"/>
            <w:shd w:val="clear" w:color="auto" w:fill="CCEEFF"/>
          </w:tcPr>
          <w:p>
            <w:pPr>
              <w:spacing w:after="0"/>
              <w:rPr>
                <w:sz w:val="17"/>
                <w:szCs w:val="17"/>
                <w:color w:val="auto"/>
              </w:rPr>
            </w:pPr>
          </w:p>
        </w:tc>
        <w:tc>
          <w:tcPr>
            <w:tcW w:w="416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Three Months Ended September 30, 2023</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2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Coach</w:t>
            </w:r>
          </w:p>
        </w:tc>
        <w:tc>
          <w:tcPr>
            <w:tcW w:w="1200" w:type="dxa"/>
            <w:vAlign w:val="bottom"/>
            <w:tcBorders>
              <w:top w:val="single" w:sz="8" w:color="CCEEFF"/>
            </w:tcBorders>
            <w:gridSpan w:val="2"/>
          </w:tcPr>
          <w:p>
            <w:pPr>
              <w:spacing w:after="0"/>
              <w:rPr>
                <w:sz w:val="19"/>
                <w:szCs w:val="19"/>
                <w:color w:val="auto"/>
              </w:rPr>
            </w:pPr>
          </w:p>
        </w:tc>
        <w:tc>
          <w:tcPr>
            <w:tcW w:w="480" w:type="dxa"/>
            <w:vAlign w:val="bottom"/>
            <w:tcBorders>
              <w:top w:val="single" w:sz="8" w:color="CCEEFF"/>
            </w:tcBorders>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26"/>
        </w:trPr>
        <w:tc>
          <w:tcPr>
            <w:tcW w:w="41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26"/>
        </w:trPr>
        <w:tc>
          <w:tcPr>
            <w:tcW w:w="418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35"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Greater China includes mainland China, Taiwan, Hong Kong SAR and Macao SAR.</w:t>
      </w:r>
    </w:p>
    <w:p>
      <w:pPr>
        <w:spacing w:after="0" w:line="80" w:lineRule="exact"/>
        <w:rPr>
          <w:rFonts w:ascii="Times New Roman" w:cs="Times New Roman" w:eastAsia="Times New Roman" w:hAnsi="Times New Roman"/>
          <w:sz w:val="23"/>
          <w:szCs w:val="23"/>
          <w:color w:val="auto"/>
          <w:vertAlign w:val="superscript"/>
        </w:rPr>
      </w:pPr>
    </w:p>
    <w:p>
      <w:pPr>
        <w:ind w:left="320" w:hanging="314"/>
        <w:spacing w:after="0" w:line="216"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Asia includes Japan, Malaysia, Australia, New Zealand, South Korea, Singapore, and other countries within Asia.</w:t>
      </w:r>
    </w:p>
    <w:p>
      <w:pPr>
        <w:spacing w:after="0" w:line="80" w:lineRule="exact"/>
        <w:rPr>
          <w:rFonts w:ascii="Times New Roman" w:cs="Times New Roman" w:eastAsia="Times New Roman" w:hAnsi="Times New Roman"/>
          <w:sz w:val="23"/>
          <w:szCs w:val="23"/>
          <w:color w:val="auto"/>
          <w:vertAlign w:val="superscript"/>
        </w:rPr>
      </w:pPr>
    </w:p>
    <w:p>
      <w:pPr>
        <w:ind w:left="320" w:hanging="314"/>
        <w:spacing w:after="0" w:line="216" w:lineRule="auto"/>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sales primarily represents sales in Europe, the Middle East and royalties earned from the Company's licensing partners.</w:t>
      </w:r>
    </w:p>
    <w:p>
      <w:pPr>
        <w:spacing w:after="0" w:line="8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Deferred Revenue</w:t>
      </w:r>
    </w:p>
    <w:p>
      <w:pPr>
        <w:spacing w:after="0" w:line="11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Deferred revenue results from cash payments received or receivable from customers prior to the transfer of the promised goods or services, and is generally comprised of unredeemed gift cards, net of breakage which has been recognized. Additional deferred revenue may result from sales-based royalty payments received or receivable which exceed the revenue recognized during the contractual period. The balance of such amounts as of September 28, 2024 and June 29, 2024 was $40.0 million and $45.5 million, respectively, which were primarily recorded within Accrued liabilities on the Company's Condensed Consolidated Balance Sheets and are generally expected to be recognized as revenue within a year. For the three months ended September 28, 2024, net sales of $12.7 million were recognized from amounts recorded as deferred revenue as of June 29, 2024. For the three months ended September 30, 2023, net sales of $14.6 million were recognized from amounts recorded as deferred revenue as of July 1, 2023.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Merger Agreement</w:t>
      </w:r>
    </w:p>
    <w:p>
      <w:pPr>
        <w:spacing w:after="0" w:line="11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On August 10, 2023, the Company entered into an Agreement and Plan of Merger (the "Merger Agreement") by and among the Company, Sunrise Merger Sub, Inc., a direct wholly owned subsidiary of Tapestry ("Merger Sub"), and Capri Holdings Limited ("Capri"). Under the terms of the Merger Agreement, Tapestry has agreed to acquire any and all of Capri’s ordinary shares (other than (a) Capri’s ordinary Shares that are issued and outstanding immediately prior to the consummation of the acquisition that are owned or held in treasury by the Company or by Capri or any of its direct or indirect subsidiaries and (b) Capri’s ordinary shares that are issued and outstanding immediately prior to the consummation of the acquisition that are held by holders who have properly exercised dissenters’ rights in accordance with, and who have complied with, Section 179 of the BVI Business Companies Act, 2004 (as amended) of the British Virgin Islands) in cash at a purchase price of $57.00 per share, without interest, subject to any required tax withholding as provided in the Merger Agreement. The enterprise value is expected to be approximately $8.50 billion (the "Capri Acquisition"). On October 25, 2023, at a special meeting of Capri's shareholders, Capri's shareholders approved the Merger Agreement and the transactions contemplated thereby. The Company has received regulatory approval from all applicable jurisdictions except for the United States. On April 22, 2024, the FTC filed a complaint against the Company and Capri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The trial commenced on September 9, 2024, and on October 24, 2024, the Court issued its Opinion and Order granting the FTC's request for a preliminary injunction of the Merger, pending an administrative trial on the merits which is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Refer to Note 16, "Subsequent Events," for further information.</w:t>
      </w:r>
    </w:p>
    <w:p>
      <w:pPr>
        <w:spacing w:after="0" w:line="81"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In order to finance the Capri Acquisition, on November 27, 2023, the Company issued $4.50 billion of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Until the close of the transaction, the Company will maintain the proceeds from the issuance of the Capri Acquisition Senior Notes in Cash and cash equivalents and Short-term investments. If (i) the Capri Acquisition has not been completed by February 10, 2025 (or such later date mutually agreed between the Company and Capri) (such date,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Senior Notes will be redeemed at a redemption price equal to 101% of their principal amount, plus accrued and unpaid interest to, but excluding, the special mandatory redemption date. Refer to Note 13, "Investments," and Note 12, "Fair Value Measurements," for further detail on our cash equivalents and Short-term investments, and Note 11, "Debt," for further information on our existing debt instruments related to the Capri Acquisition.</w:t>
      </w:r>
    </w:p>
    <w:p>
      <w:pPr>
        <w:spacing w:after="0" w:line="6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conjunction with the Capri Acquisition, the Company incurred $70.8 million and $26.3 million respectively, in pre-tax expenses primarily related to financing-related expenses and professional fees during the three months ended September 28, 2024 and September 30,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right="7060" w:hanging="314"/>
        <w:spacing w:after="0" w:line="370" w:lineRule="auto"/>
        <w:tabs>
          <w:tab w:leader="none" w:pos="1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 in the carrying amount of the Company’s goodwill by segment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Coach</w:t>
            </w:r>
          </w:p>
        </w:tc>
        <w:tc>
          <w:tcPr>
            <w:tcW w:w="5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r>
              <w:rPr>
                <w:rFonts w:ascii="Times New Roman" w:cs="Times New Roman" w:eastAsia="Times New Roman" w:hAnsi="Times New Roman"/>
                <w:sz w:val="23"/>
                <w:szCs w:val="23"/>
                <w:b w:val="1"/>
                <w:bCs w:val="1"/>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6"/>
        </w:trPr>
        <w:tc>
          <w:tcPr>
            <w:tcW w:w="2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5"/>
          </w:tcPr>
          <w:p>
            <w:pPr>
              <w:ind w:left="1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2"/>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180" w:type="dxa"/>
            <w:vAlign w:val="bottom"/>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w:t>
            </w:r>
          </w:p>
        </w:tc>
      </w:tr>
      <w:tr>
        <w:trPr>
          <w:trHeight w:val="226"/>
        </w:trPr>
        <w:tc>
          <w:tcPr>
            <w:tcW w:w="3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r>
      <w:tr>
        <w:trPr>
          <w:trHeight w:val="244"/>
        </w:trPr>
        <w:tc>
          <w:tcPr>
            <w:tcW w:w="3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28, 2024</w:t>
            </w:r>
          </w:p>
        </w:tc>
        <w:tc>
          <w:tcPr>
            <w:tcW w:w="1180" w:type="dxa"/>
            <w:vAlign w:val="bottom"/>
            <w:tcBorders>
              <w:top w:val="single" w:sz="8" w:color="auto"/>
              <w:bottom w:val="single" w:sz="8" w:color="auto"/>
            </w:tcBorders>
            <w:shd w:val="clear" w:color="auto" w:fill="CCEEFF"/>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2220" w:type="dxa"/>
            <w:vAlign w:val="bottom"/>
            <w:tcBorders>
              <w:bottom w:val="single" w:sz="8" w:color="auto"/>
            </w:tcBorders>
          </w:tcPr>
          <w:p>
            <w:pPr>
              <w:spacing w:after="0"/>
              <w:rPr>
                <w:sz w:val="21"/>
                <w:szCs w:val="21"/>
                <w:color w:val="auto"/>
              </w:rPr>
            </w:pPr>
          </w:p>
        </w:tc>
        <w:tc>
          <w:tcPr>
            <w:tcW w:w="1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35" w:lineRule="exact"/>
        <w:rPr>
          <w:sz w:val="20"/>
          <w:szCs w:val="20"/>
          <w:color w:val="auto"/>
        </w:rPr>
      </w:pPr>
    </w:p>
    <w:p>
      <w:pPr>
        <w:ind w:left="280" w:hanging="274"/>
        <w:spacing w:after="0"/>
        <w:tabs>
          <w:tab w:leader="none" w:pos="2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is net of accumulated goodwill impairment charges of $210.7 million as of September 28, 2024 and June 29, 2024.</w:t>
      </w:r>
    </w:p>
    <w:p>
      <w:pPr>
        <w:spacing w:after="0" w:line="83"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Intangible Assets</w:t>
      </w:r>
    </w:p>
    <w:p>
      <w:pPr>
        <w:spacing w:after="0" w:line="115"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Intangible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June 29, 2024</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Accum.</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5"/>
                <w:szCs w:val="15"/>
                <w:color w:val="auto"/>
              </w:rPr>
            </w:pPr>
          </w:p>
        </w:tc>
        <w:tc>
          <w:tcPr>
            <w:tcW w:w="9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color w:val="auto"/>
                <w:w w:val="96"/>
              </w:rPr>
              <w:t>Carrying</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6"/>
        </w:trPr>
        <w:tc>
          <w:tcPr>
            <w:tcW w:w="4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0" w:type="dxa"/>
            <w:vAlign w:val="bottom"/>
          </w:tcPr>
          <w:p>
            <w:pPr>
              <w:spacing w:after="0"/>
              <w:rPr>
                <w:sz w:val="1"/>
                <w:szCs w:val="1"/>
                <w:color w:val="auto"/>
              </w:rPr>
            </w:pPr>
          </w:p>
        </w:tc>
      </w:tr>
      <w:tr>
        <w:trPr>
          <w:trHeight w:val="219"/>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Amortization expense for the Company’s definite-lived intangible assets was $1.6 million and $1.6 million for the three months ended September 28, 2024 and September 30, 2023, respectively.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28, 2024, the expected amortization expense for intangible assets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186"/>
        </w:trPr>
        <w:tc>
          <w:tcPr>
            <w:tcW w:w="8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8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4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2030 and thereafter</w:t>
            </w:r>
          </w:p>
        </w:tc>
        <w:tc>
          <w:tcPr>
            <w:tcW w:w="3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expected amortization expense above reflects remaining useful lives ranging from approximately 5.5 to 7.8 years for customer relationships.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7. STOCKHOLDERS' EQUITY</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520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A reconciliation of stockholders' equity is presented below:</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900" w:type="dxa"/>
            <w:vAlign w:val="bottom"/>
          </w:tcPr>
          <w:p>
            <w:pPr>
              <w:spacing w:after="0"/>
              <w:rPr>
                <w:sz w:val="24"/>
                <w:szCs w:val="24"/>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8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8"/>
                <w:szCs w:val="18"/>
                <w:b w:val="1"/>
                <w:bCs w:val="1"/>
                <w:color w:val="auto"/>
                <w:w w:val="98"/>
              </w:rPr>
              <w:t>Earnings /</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1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220"/>
              <w:spacing w:after="0" w:line="173" w:lineRule="exact"/>
              <w:rPr>
                <w:sz w:val="20"/>
                <w:szCs w:val="20"/>
                <w:color w:val="auto"/>
              </w:rPr>
            </w:pPr>
            <w:r>
              <w:rPr>
                <w:rFonts w:ascii="Times New Roman" w:cs="Times New Roman" w:eastAsia="Times New Roman" w:hAnsi="Times New Roman"/>
                <w:sz w:val="18"/>
                <w:szCs w:val="18"/>
                <w:color w:val="auto"/>
              </w:rPr>
              <w:t>Shares issued, pursuant to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based compensation arrangements,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Dividends declared ($0.35 per share)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900" w:type="dxa"/>
            <w:vAlign w:val="bottom"/>
          </w:tcPr>
          <w:p>
            <w:pPr>
              <w:spacing w:after="0"/>
              <w:rPr>
                <w:sz w:val="24"/>
                <w:szCs w:val="24"/>
                <w:color w:val="auto"/>
              </w:rPr>
            </w:pPr>
          </w:p>
        </w:tc>
        <w:tc>
          <w:tcPr>
            <w:tcW w:w="1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8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tcPr>
          <w:p>
            <w:pPr>
              <w:spacing w:after="0"/>
              <w:rPr>
                <w:sz w:val="24"/>
                <w:szCs w:val="24"/>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8"/>
                <w:szCs w:val="18"/>
                <w:b w:val="1"/>
                <w:bCs w:val="1"/>
                <w:color w:val="auto"/>
                <w:w w:val="98"/>
              </w:rPr>
              <w:t>Earnings /</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10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6"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8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29,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Other comprehensive income (loss)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220"/>
              <w:spacing w:after="0" w:line="173" w:lineRule="exact"/>
              <w:rPr>
                <w:sz w:val="20"/>
                <w:szCs w:val="20"/>
                <w:color w:val="auto"/>
              </w:rPr>
            </w:pPr>
            <w:r>
              <w:rPr>
                <w:rFonts w:ascii="Times New Roman" w:cs="Times New Roman" w:eastAsia="Times New Roman" w:hAnsi="Times New Roman"/>
                <w:sz w:val="18"/>
                <w:szCs w:val="18"/>
                <w:b w:val="1"/>
                <w:bCs w:val="1"/>
                <w:color w:val="auto"/>
              </w:rPr>
              <w:t>Shares issued, pursuant to stock-</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0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b w:val="1"/>
                <w:bCs w:val="1"/>
                <w:color w:val="auto"/>
                <w:w w:val="98"/>
              </w:rPr>
              <w:t>based compensation arrangements,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of shares withheld for taxes</w:t>
            </w:r>
          </w:p>
        </w:tc>
        <w:tc>
          <w:tcPr>
            <w:tcW w:w="1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 ($0.35 per share)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28,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2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9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("AOCI"), as of the dates indicated,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Unrealized Gains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Unrealized Gains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40" w:type="dxa"/>
            <w:vAlign w:val="bottom"/>
            <w:gridSpan w:val="3"/>
          </w:tcPr>
          <w:p>
            <w:pPr>
              <w:jc w:val="center"/>
              <w:ind w:right="120"/>
              <w:spacing w:after="0" w:line="179" w:lineRule="exact"/>
              <w:rPr>
                <w:sz w:val="20"/>
                <w:szCs w:val="20"/>
                <w:color w:val="auto"/>
              </w:rPr>
            </w:pPr>
            <w:r>
              <w:rPr>
                <w:rFonts w:ascii="Times New Roman" w:cs="Times New Roman" w:eastAsia="Times New Roman" w:hAnsi="Times New Roman"/>
                <w:sz w:val="18"/>
                <w:szCs w:val="18"/>
                <w:b w:val="1"/>
                <w:bCs w:val="1"/>
                <w:color w:val="auto"/>
                <w:w w:val="97"/>
              </w:rPr>
              <w:t>(Losses) on Cash</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6"/>
              </w:rPr>
              <w:t>(Losses)</w:t>
            </w:r>
          </w:p>
        </w:tc>
        <w:tc>
          <w:tcPr>
            <w:tcW w:w="140" w:type="dxa"/>
            <w:vAlign w:val="bottom"/>
          </w:tcPr>
          <w:p>
            <w:pPr>
              <w:spacing w:after="0"/>
              <w:rPr>
                <w:sz w:val="15"/>
                <w:szCs w:val="15"/>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Cumulative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Flow</w:t>
            </w:r>
          </w:p>
        </w:tc>
        <w:tc>
          <w:tcPr>
            <w:tcW w:w="160" w:type="dxa"/>
            <w:vAlign w:val="bottom"/>
          </w:tcPr>
          <w:p>
            <w:pPr>
              <w:spacing w:after="0"/>
              <w:rPr>
                <w:sz w:val="15"/>
                <w:szCs w:val="15"/>
                <w:color w:val="auto"/>
              </w:rPr>
            </w:pPr>
          </w:p>
        </w:tc>
        <w:tc>
          <w:tcPr>
            <w:tcW w:w="13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8"/>
                <w:szCs w:val="18"/>
                <w:b w:val="1"/>
                <w:bCs w:val="1"/>
                <w:color w:val="auto"/>
                <w:w w:val="95"/>
              </w:rPr>
              <w:t>on Available-</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8"/>
              </w:rPr>
              <w:t>Hedging</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line="173" w:lineRule="exact"/>
              <w:rPr>
                <w:sz w:val="20"/>
                <w:szCs w:val="20"/>
                <w:color w:val="auto"/>
              </w:rPr>
            </w:pPr>
            <w:r>
              <w:rPr>
                <w:rFonts w:ascii="Times New Roman" w:cs="Times New Roman" w:eastAsia="Times New Roman" w:hAnsi="Times New Roman"/>
                <w:sz w:val="18"/>
                <w:szCs w:val="18"/>
                <w:b w:val="1"/>
                <w:bCs w:val="1"/>
                <w:color w:val="auto"/>
                <w:w w:val="98"/>
              </w:rPr>
              <w:t>for-Sale</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15"/>
                <w:szCs w:val="15"/>
                <w:color w:val="auto"/>
              </w:rPr>
            </w:pPr>
          </w:p>
        </w:tc>
        <w:tc>
          <w:tcPr>
            <w:tcW w:w="86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line="239" w:lineRule="exact"/>
              <w:rPr>
                <w:sz w:val="20"/>
                <w:szCs w:val="20"/>
                <w:color w:val="auto"/>
              </w:rPr>
            </w:pPr>
            <w:r>
              <w:rPr>
                <w:rFonts w:ascii="Times New Roman" w:cs="Times New Roman" w:eastAsia="Times New Roman" w:hAnsi="Times New Roman"/>
                <w:sz w:val="18"/>
                <w:szCs w:val="18"/>
                <w:b w:val="1"/>
                <w:bCs w:val="1"/>
                <w:color w:val="auto"/>
                <w:w w:val="93"/>
              </w:rPr>
              <w:t>Derivatives</w:t>
            </w:r>
            <w:r>
              <w:rPr>
                <w:rFonts w:ascii="Times New Roman" w:cs="Times New Roman" w:eastAsia="Times New Roman" w:hAnsi="Times New Roman"/>
                <w:sz w:val="23"/>
                <w:szCs w:val="23"/>
                <w:b w:val="1"/>
                <w:bCs w:val="1"/>
                <w:color w:val="auto"/>
                <w:w w:val="93"/>
                <w:vertAlign w:val="superscript"/>
              </w:rPr>
              <w:t>(1)</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40"/>
              <w:spacing w:after="0" w:line="239" w:lineRule="exact"/>
              <w:rPr>
                <w:sz w:val="20"/>
                <w:szCs w:val="20"/>
                <w:color w:val="auto"/>
              </w:rPr>
            </w:pPr>
            <w:r>
              <w:rPr>
                <w:rFonts w:ascii="Times New Roman" w:cs="Times New Roman" w:eastAsia="Times New Roman" w:hAnsi="Times New Roman"/>
                <w:sz w:val="18"/>
                <w:szCs w:val="18"/>
                <w:b w:val="1"/>
                <w:bCs w:val="1"/>
                <w:color w:val="auto"/>
                <w:w w:val="95"/>
              </w:rPr>
              <w:t>Adjustment</w:t>
            </w:r>
            <w:r>
              <w:rPr>
                <w:rFonts w:ascii="Times New Roman" w:cs="Times New Roman" w:eastAsia="Times New Roman" w:hAnsi="Times New Roman"/>
                <w:sz w:val="23"/>
                <w:szCs w:val="23"/>
                <w:b w:val="1"/>
                <w:bCs w:val="1"/>
                <w:color w:val="auto"/>
                <w:w w:val="95"/>
                <w:vertAlign w:val="superscript"/>
              </w:rPr>
              <w:t>(2)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6"/>
        </w:trPr>
        <w:tc>
          <w:tcPr>
            <w:tcW w:w="5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173"/>
        </w:trPr>
        <w:tc>
          <w:tcPr>
            <w:tcW w:w="5600" w:type="dxa"/>
            <w:vAlign w:val="bottom"/>
            <w:gridSpan w:val="2"/>
            <w:shd w:val="clear" w:color="auto" w:fill="CCEEFF"/>
          </w:tcPr>
          <w:p>
            <w:pPr>
              <w:ind w:left="380"/>
              <w:spacing w:after="0" w:line="173"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to earnings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9"/>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June 29,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0" w:type="dxa"/>
            <w:vAlign w:val="bottom"/>
          </w:tcPr>
          <w:p>
            <w:pPr>
              <w:spacing w:after="0"/>
              <w:rPr>
                <w:sz w:val="1"/>
                <w:szCs w:val="1"/>
                <w:color w:val="auto"/>
              </w:rPr>
            </w:pPr>
          </w:p>
        </w:tc>
      </w:tr>
      <w:tr>
        <w:trPr>
          <w:trHeight w:val="226"/>
        </w:trPr>
        <w:tc>
          <w:tcPr>
            <w:tcW w:w="56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0" w:type="dxa"/>
            <w:vAlign w:val="bottom"/>
          </w:tcPr>
          <w:p>
            <w:pPr>
              <w:spacing w:after="0"/>
              <w:rPr>
                <w:sz w:val="1"/>
                <w:szCs w:val="1"/>
                <w:color w:val="auto"/>
              </w:rPr>
            </w:pPr>
          </w:p>
        </w:tc>
      </w:tr>
      <w:tr>
        <w:trPr>
          <w:trHeight w:val="173"/>
        </w:trPr>
        <w:tc>
          <w:tcPr>
            <w:tcW w:w="5600" w:type="dxa"/>
            <w:vAlign w:val="bottom"/>
            <w:gridSpan w:val="2"/>
            <w:shd w:val="clear" w:color="auto" w:fill="CCEEFF"/>
          </w:tcPr>
          <w:p>
            <w:pPr>
              <w:ind w:left="380"/>
              <w:spacing w:after="0" w:line="173" w:lineRule="exact"/>
              <w:rPr>
                <w:sz w:val="20"/>
                <w:szCs w:val="20"/>
                <w:color w:val="auto"/>
              </w:rPr>
            </w:pPr>
            <w:r>
              <w:rPr>
                <w:rFonts w:ascii="Times New Roman" w:cs="Times New Roman" w:eastAsia="Times New Roman" w:hAnsi="Times New Roman"/>
                <w:sz w:val="18"/>
                <w:szCs w:val="18"/>
                <w:b w:val="1"/>
                <w:bCs w:val="1"/>
                <w:color w:val="auto"/>
              </w:rPr>
              <w:t>Less: amounts reclassified from accumulated other comprehensive</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39"/>
        </w:trPr>
        <w:tc>
          <w:tcPr>
            <w:tcW w:w="5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income to earnings</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180" w:type="dxa"/>
            <w:vAlign w:val="bottom"/>
            <w:tcBorders>
              <w:bottom w:val="single" w:sz="8" w:color="auto"/>
            </w:tcBorders>
          </w:tcPr>
          <w:p>
            <w:pPr>
              <w:spacing w:after="0"/>
              <w:rPr>
                <w:sz w:val="21"/>
                <w:szCs w:val="21"/>
                <w:color w:val="auto"/>
              </w:rPr>
            </w:pPr>
          </w:p>
        </w:tc>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320" w:hanging="314"/>
        <w:spacing w:after="0" w:line="232" w:lineRule="auto"/>
        <w:tabs>
          <w:tab w:leader="none" w:pos="29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cash flow hedges are net of tax of $(0.8) million and $(7.5) million as of September 28, 2024 and September 30, 2023, respectively. The amounts reclassified from AOCI are net of tax of $(0.6) million and $0.6 million as of September 28, 2024 and September 30, 2023, respectively.</w:t>
      </w:r>
    </w:p>
    <w:p>
      <w:pPr>
        <w:spacing w:after="0" w:line="87" w:lineRule="exact"/>
        <w:rPr>
          <w:rFonts w:ascii="Times New Roman" w:cs="Times New Roman" w:eastAsia="Times New Roman" w:hAnsi="Times New Roman"/>
          <w:sz w:val="23"/>
          <w:szCs w:val="23"/>
          <w:color w:val="auto"/>
          <w:vertAlign w:val="superscript"/>
        </w:rPr>
      </w:pPr>
    </w:p>
    <w:p>
      <w:pPr>
        <w:jc w:val="both"/>
        <w:ind w:left="320" w:hanging="314"/>
        <w:spacing w:after="0" w:line="232" w:lineRule="auto"/>
        <w:tabs>
          <w:tab w:leader="none" w:pos="27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ending balances of AOCI related to the fair values of instruments designated as hedges of the Company's net investment in certain foreign operations as included in foreign currency translation adjustments are a loss of $56.3 million, net of tax of $11.6 million and a loss of $25.9 million, net of tax of $(5.8) million, as of September 28, 2024 and September 30,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majority of the Company’s purchases of finished goods are denominated in U.S. dollars, which limits the Company’s exposure to the transactional effects of foreign currency exchange rate fluctuations. However, the Company is exposed to foreign currency exchange risk related to its sale of U.S. dollar inventory to foreign operating subsidiaries in local currency, as well as risk related to various cross-currency intercompany loans and payables, and translation risk. The Company is also exposed to foreign currency risk related to changes in the U.S. dollar value of its net investment in foreign subsidiaries. The Company uses derivative financial instruments to manage these risks. These derivative transactions are in accordance with the Company’s risk management policies. The Company does not enter into derivative transactions for speculative or trading purposes.</w:t>
      </w:r>
    </w:p>
    <w:p>
      <w:pPr>
        <w:spacing w:after="0" w:line="7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records all derivative contracts at fair value on the Condensed Consolidated Balance Sheet. The fair values of foreign currency derivatives are based on the forward curves of the specific indices upon which settlement is based and include an adjustment for the counterparty's or Company’s credit risk. Judgment is required of management in developing estimates of fair value. The use of different market assumptions or methodologies could affect the estimated fair value.</w:t>
      </w:r>
    </w:p>
    <w:p>
      <w:pPr>
        <w:spacing w:after="0" w:line="7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For cash flow derivative instruments that qualify for hedge accounting, the changes in the fair value of these instruments are recognized as a component of AOCI until the hedged item is recognized in earnings. For derivative instruments that are designated as a net investment hedge, the changes in the fair value of the instruments are recognized as a component of AOCI and, upon discontinuation of the hedge, remain in AOCI until the net investment is sold or liquidated.</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Each derivative instrument entered into by the Company that qualifies for hedge accounting is expected to be highly effective at reducing the risk associated with the exposure being hedged. For each derivative that is designated as a hedge, the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documents the related risk management objective and strategy, including identification of the hedging instrument, the hedged item and the risk exposure, as well as how hedge effectiveness will be assessed over the term of the instrument. The extent to which a hedging instrument has been and is expected to remain highly effective in achieving offsetting changes in fair value or cash flows is assessed and documented by the Company on at least a quarterly basis.</w:t>
      </w:r>
    </w:p>
    <w:p>
      <w:pPr>
        <w:spacing w:after="0" w:line="7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or interest income (expense). Upon discontinuance of hedge accounting, the cumulative change in fair value of cash flow derivatives previously recorded in AOCI is recognized in earnings when the related hedged item affects earnings, consistent with the original hedging strategy, unless the forecasted transaction is no longer probable of occurring, in which case the accumulated amount is immediately recognized in earnings within foreign currency gains (losses) or interest income (expense).</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foreign currency derivative instruments which are not designated as hedges, the changes in fair value of the instruments are recorded through earnings. These changes generally offset the revaluation of certain underlying assets and liabilities.</w:t>
      </w:r>
    </w:p>
    <w:p>
      <w:pPr>
        <w:spacing w:after="0" w:line="5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a result of the use of derivative instruments, the Company may be exposed to the risk that the counterparties to such contracts will fail to meet their contractual obligations. To mitigate this counterparty credit risk, the Company has a policy of only entering into contracts with carefully selected financial institutions based upon an evaluation of their credit ratings, among other factors.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fair values of the Company’s derivative instruments are recorded on its Condensed Consolidated Balance Sheet on a gross basis. For cash flow reporting purposes, the Company classifies proceeds received or amounts paid upon the settlement of a derivative instrument in the same manner as the related item being hedged, primarily within cash from operating activities.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Hedging Portfolio</w:t>
      </w:r>
    </w:p>
    <w:p>
      <w:pPr>
        <w:spacing w:after="0" w:line="11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 enters into forward currency contracts primarily to reduce its risks related to exchange rate fluctuations on foreign currency denominated inventory transactions, as well as various cross-currency intercompany loans and payables. This primarily includes exposure to exchange rate fluctuations in the Japanese Yen, the Chinese Renminbi and the Euro. To the extent its derivative contracts designated as cash flow hedges are highly effective in offsetting changes in the value of the hedged items, the related gains (losses) are initially deferred in AOCI and subsequently recognized in the Condensed Consolidated Statements of Operations as part of the cost of the inventory purchases being hedged within Cost of sales, when the related inventory is sold to a third-party. Current maturity dates range from October 2024 to June 2026. Forward foreign currency exchange contracts which are not designated as hedges of intercompany and other contractual obligations are recognized within Other expense (income) on the Company's Condensed Consolidated Statement of Operations. The maturity date of most instruments held as of September 28, 2024 range from November 2024 to December 2024, and such contracts are typically renewed upon maturity if the related balance has not been settled.</w:t>
      </w:r>
    </w:p>
    <w:p>
      <w:pPr>
        <w:spacing w:after="0" w:line="8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also enters into cross-currency swaps to reduce its risks related to exchange rate fluctuations on net investments in foreign subsidiaries, including our net investment in Euro-denominated subsidiaries, Japanese Yen-denominated subsidiaries and Chinese Renminbi subsidiaries against future volatility in the exchange rates between the United States dollar and their local currencies. The related gains (losses) are deferred in AOCI until the net investment is sold or liquidated, and current maturity dates range from November 2027 to March 2032.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provide information related to the Company's derivative instruments recorded on the Company's Condensed Consolidated Balance Sheets as of September 28, 2024 and June 29,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Notional Value</w:t>
            </w:r>
          </w:p>
        </w:tc>
        <w:tc>
          <w:tcPr>
            <w:tcW w:w="1200" w:type="dxa"/>
            <w:vAlign w:val="bottom"/>
          </w:tcPr>
          <w:p>
            <w:pPr>
              <w:spacing w:after="0"/>
              <w:rPr>
                <w:sz w:val="20"/>
                <w:szCs w:val="20"/>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720" w:type="dxa"/>
            <w:vAlign w:val="bottom"/>
            <w:tcBorders>
              <w:bottom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6"/>
              </w:rPr>
              <w:t>Consolidated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Consolidated</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2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6"/>
              </w:rPr>
              <w:t>June 29,</w:t>
            </w:r>
          </w:p>
        </w:tc>
        <w:tc>
          <w:tcPr>
            <w:tcW w:w="12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7"/>
              </w:rPr>
              <w:t>Balance Sheet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2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6"/>
              </w:rPr>
              <w:t>June 29,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Balance Sheet</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20" w:type="dxa"/>
            <w:vAlign w:val="bottom"/>
          </w:tcPr>
          <w:p>
            <w:pPr>
              <w:spacing w:after="0"/>
              <w:rPr>
                <w:sz w:val="18"/>
                <w:szCs w:val="18"/>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6"/>
              </w:rPr>
              <w:t>June 29,</w:t>
            </w: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6"/>
              </w:rPr>
              <w:t>Classification</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Classification</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8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Hedging Instruments:</w:t>
            </w: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4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FC - Inventory</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0" w:type="dxa"/>
            <w:vAlign w:val="bottom"/>
          </w:tcPr>
          <w:p>
            <w:pPr>
              <w:jc w:val="center"/>
              <w:ind w:left="34"/>
              <w:spacing w:after="0" w:line="186" w:lineRule="exact"/>
              <w:rPr>
                <w:sz w:val="20"/>
                <w:szCs w:val="20"/>
                <w:color w:val="auto"/>
              </w:rPr>
            </w:pPr>
            <w:r>
              <w:rPr>
                <w:rFonts w:ascii="Times New Roman" w:cs="Times New Roman" w:eastAsia="Times New Roman" w:hAnsi="Times New Roman"/>
                <w:sz w:val="18"/>
                <w:szCs w:val="18"/>
                <w:color w:val="auto"/>
                <w:w w:val="99"/>
              </w:rPr>
              <w:t>Other Current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Accrued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732.1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20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7"/>
              </w:rPr>
              <w:t>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Other Current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Accrued</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20" w:type="dxa"/>
            <w:vAlign w:val="bottom"/>
            <w:vMerge w:val="restart"/>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investment</w:t>
            </w: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340" w:type="dxa"/>
            <w:vAlign w:val="bottom"/>
            <w:vMerge w:val="restart"/>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Liabilities &amp;</w:t>
            </w: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42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0" w:type="dxa"/>
            <w:vAlign w:val="bottom"/>
            <w:vMerge w:val="restart"/>
            <w:shd w:val="clear" w:color="auto" w:fill="CCEEFF"/>
          </w:tcPr>
          <w:p>
            <w:pPr>
              <w:jc w:val="center"/>
              <w:ind w:left="34"/>
              <w:spacing w:after="0" w:line="178" w:lineRule="exact"/>
              <w:rPr>
                <w:sz w:val="20"/>
                <w:szCs w:val="20"/>
                <w:color w:val="auto"/>
              </w:rPr>
            </w:pPr>
            <w:r>
              <w:rPr>
                <w:rFonts w:ascii="Times New Roman" w:cs="Times New Roman" w:eastAsia="Times New Roman" w:hAnsi="Times New Roman"/>
                <w:sz w:val="18"/>
                <w:szCs w:val="18"/>
                <w:color w:val="auto"/>
                <w:w w:val="97"/>
              </w:rPr>
              <w:t>Assets &amp; Other</w:t>
            </w: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34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420" w:type="dxa"/>
            <w:vAlign w:val="bottom"/>
            <w:shd w:val="clear" w:color="auto" w:fill="CCEEFF"/>
          </w:tcPr>
          <w:p>
            <w:pPr>
              <w:ind w:left="520"/>
              <w:spacing w:after="0" w:line="75" w:lineRule="exact"/>
              <w:rPr>
                <w:sz w:val="20"/>
                <w:szCs w:val="20"/>
                <w:color w:val="auto"/>
              </w:rPr>
            </w:pPr>
            <w:r>
              <w:rPr>
                <w:rFonts w:ascii="Times New Roman" w:cs="Times New Roman" w:eastAsia="Times New Roman" w:hAnsi="Times New Roman"/>
                <w:sz w:val="8"/>
                <w:szCs w:val="8"/>
                <w:color w:val="auto"/>
              </w:rPr>
              <w:t>(2)</w:t>
            </w: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34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42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hedges</w:t>
            </w: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0" w:type="dxa"/>
            <w:vAlign w:val="bottom"/>
            <w:shd w:val="clear" w:color="auto" w:fill="CCEEFF"/>
          </w:tcPr>
          <w:p>
            <w:pPr>
              <w:jc w:val="right"/>
              <w:ind w:right="154"/>
              <w:spacing w:after="0" w:line="106"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3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9"/>
        </w:trPr>
        <w:tc>
          <w:tcPr>
            <w:tcW w:w="14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1,590.0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Liabilities</w:t>
            </w:r>
            <w:r>
              <w:rPr>
                <w:rFonts w:ascii="Times New Roman" w:cs="Times New Roman" w:eastAsia="Times New Roman" w:hAnsi="Times New Roman"/>
                <w:sz w:val="23"/>
                <w:szCs w:val="23"/>
                <w:color w:val="auto"/>
                <w:w w:val="94"/>
                <w:vertAlign w:val="superscript"/>
              </w:rPr>
              <w:t>(5)</w:t>
            </w:r>
          </w:p>
        </w:tc>
        <w:tc>
          <w:tcPr>
            <w:tcW w:w="14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172"/>
        </w:trPr>
        <w:tc>
          <w:tcPr>
            <w:tcW w:w="142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b w:val="1"/>
                <w:bCs w:val="1"/>
                <w:color w:val="auto"/>
                <w:w w:val="98"/>
              </w:rPr>
              <w:t>Total designated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420" w:type="dxa"/>
            <w:vAlign w:val="bottom"/>
          </w:tcPr>
          <w:p>
            <w:pPr>
              <w:ind w:left="140"/>
              <w:spacing w:after="0" w:line="199" w:lineRule="exact"/>
              <w:rPr>
                <w:sz w:val="20"/>
                <w:szCs w:val="20"/>
                <w:color w:val="auto"/>
              </w:rPr>
            </w:pPr>
            <w:r>
              <w:rPr>
                <w:rFonts w:ascii="Times New Roman" w:cs="Times New Roman" w:eastAsia="Times New Roman" w:hAnsi="Times New Roman"/>
                <w:sz w:val="18"/>
                <w:szCs w:val="18"/>
                <w:b w:val="1"/>
                <w:bCs w:val="1"/>
                <w:color w:val="auto"/>
              </w:rPr>
              <w:t>hedge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2,322.1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06"/>
        </w:trPr>
        <w:tc>
          <w:tcPr>
            <w:tcW w:w="2840" w:type="dxa"/>
            <w:vAlign w:val="bottom"/>
            <w:gridSpan w:val="4"/>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Undesignated Hedging Instruments: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FC - Intercompany</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vMerge w:val="restart"/>
          </w:tcPr>
          <w:p>
            <w:pPr>
              <w:jc w:val="center"/>
              <w:ind w:left="34"/>
              <w:spacing w:after="0"/>
              <w:rPr>
                <w:sz w:val="20"/>
                <w:szCs w:val="20"/>
                <w:color w:val="auto"/>
              </w:rPr>
            </w:pPr>
            <w:r>
              <w:rPr>
                <w:rFonts w:ascii="Times New Roman" w:cs="Times New Roman" w:eastAsia="Times New Roman" w:hAnsi="Times New Roman"/>
                <w:sz w:val="18"/>
                <w:szCs w:val="18"/>
                <w:color w:val="auto"/>
                <w:w w:val="99"/>
              </w:rPr>
              <w:t>Other Current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Accrued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420" w:type="dxa"/>
            <w:vAlign w:val="bottom"/>
            <w:vMerge w:val="restart"/>
          </w:tcPr>
          <w:p>
            <w:pPr>
              <w:ind w:left="20"/>
              <w:spacing w:after="0" w:line="178" w:lineRule="exact"/>
              <w:rPr>
                <w:sz w:val="20"/>
                <w:szCs w:val="20"/>
                <w:color w:val="auto"/>
              </w:rPr>
            </w:pPr>
            <w:r>
              <w:rPr>
                <w:rFonts w:ascii="Times New Roman" w:cs="Times New Roman" w:eastAsia="Times New Roman" w:hAnsi="Times New Roman"/>
                <w:sz w:val="18"/>
                <w:szCs w:val="18"/>
                <w:color w:val="auto"/>
              </w:rPr>
              <w:t>liabilities and</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309.7</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vMerge w:val="restart"/>
          </w:tcPr>
          <w:p>
            <w:pPr>
              <w:jc w:val="center"/>
              <w:ind w:left="54"/>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140" w:type="dxa"/>
            <w:vAlign w:val="bottom"/>
          </w:tcPr>
          <w:p>
            <w:pPr>
              <w:spacing w:after="0"/>
              <w:rPr>
                <w:sz w:val="7"/>
                <w:szCs w:val="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420" w:type="dxa"/>
            <w:vAlign w:val="bottom"/>
            <w:tcBorders>
              <w:bottom w:val="single" w:sz="8" w:color="CCEEFF"/>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2,631.8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87"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foreign exchange contracts ("CCS") and forward foreign exchange contracts ("FC") designated as derivative instruments in net investment hedging relationships.</w:t>
      </w:r>
    </w:p>
    <w:p>
      <w:pPr>
        <w:spacing w:after="0" w:line="54"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not designated as hedges.</w:t>
      </w:r>
    </w:p>
    <w:p>
      <w:pPr>
        <w:spacing w:after="0" w:line="87"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28, 2024, the Company recorded $10.3 million within Other Current Assets and $6.1 million within Other Assets. As of June 29, 2024, the Company recorded $11.6 million within Other Current Assets and $20.6 million within Other Assets.</w:t>
      </w:r>
    </w:p>
    <w:p>
      <w:pPr>
        <w:spacing w:after="0" w:line="87"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28, 2024, the Company recorded $4.9 million within Accrued Liabilities and $197.6 million within Other Liabilities. As of June 29, 2024, the Company recorded $2.2 million within Accrued Liabilities and $137.2 million within Other Liabilities.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provides the pretax impact of gains and losses from the Company's designated derivative instruments on its Condensed Consolidated Financial Statements as of September 28, 2024 and September 30, 2023:</w:t>
      </w:r>
    </w:p>
    <w:p>
      <w:pPr>
        <w:spacing w:after="0" w:line="9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 on</w:t>
      </w:r>
    </w:p>
    <w:p>
      <w:pPr>
        <w:spacing w:after="0" w:line="1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820" w:type="dxa"/>
            <w:vAlign w:val="bottom"/>
            <w:tcBorders>
              <w:top w:val="single" w:sz="8" w:color="auto"/>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6"/>
        </w:trPr>
        <w:tc>
          <w:tcPr>
            <w:tcW w:w="7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98"/>
              </w:rPr>
              <w:t>September 30, 2023</w:t>
            </w:r>
          </w:p>
        </w:tc>
        <w:tc>
          <w:tcPr>
            <w:tcW w:w="0" w:type="dxa"/>
            <w:vAlign w:val="bottom"/>
          </w:tcPr>
          <w:p>
            <w:pPr>
              <w:spacing w:after="0"/>
              <w:rPr>
                <w:sz w:val="1"/>
                <w:szCs w:val="1"/>
                <w:color w:val="auto"/>
              </w:rPr>
            </w:pPr>
          </w:p>
        </w:tc>
      </w:tr>
      <w:tr>
        <w:trPr>
          <w:trHeight w:val="186"/>
        </w:trPr>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24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6"/>
        </w:trPr>
        <w:tc>
          <w:tcPr>
            <w:tcW w:w="72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 xml:space="preserve">Interest rates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2"/>
        </w:trPr>
        <w:tc>
          <w:tcPr>
            <w:tcW w:w="7240" w:type="dxa"/>
            <w:vAlign w:val="bottom"/>
          </w:tcPr>
          <w:p>
            <w:pPr>
              <w:ind w:left="240"/>
              <w:spacing w:after="0" w:line="193" w:lineRule="exact"/>
              <w:rPr>
                <w:sz w:val="20"/>
                <w:szCs w:val="20"/>
                <w:color w:val="auto"/>
              </w:rPr>
            </w:pPr>
            <w:r>
              <w:rPr>
                <w:rFonts w:ascii="Times New Roman" w:cs="Times New Roman" w:eastAsia="Times New Roman" w:hAnsi="Times New Roman"/>
                <w:sz w:val="18"/>
                <w:szCs w:val="18"/>
                <w:b w:val="1"/>
                <w:bCs w:val="1"/>
                <w:color w:val="auto"/>
              </w:rPr>
              <w:t>Total cash flow hedges</w:t>
            </w:r>
          </w:p>
        </w:tc>
        <w:tc>
          <w:tcPr>
            <w:tcW w:w="1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(36.7)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40" w:type="dxa"/>
            <w:vAlign w:val="bottom"/>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40" w:type="dxa"/>
            <w:vAlign w:val="bottom"/>
            <w:tcBorders>
              <w:bottom w:val="single" w:sz="8" w:color="CCEEFF"/>
            </w:tcBorders>
          </w:tcPr>
          <w:p>
            <w:pPr>
              <w:ind w:left="14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(116.6)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420" w:type="dxa"/>
            <w:vAlign w:val="bottom"/>
            <w:gridSpan w:val="7"/>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Accumulated OCI into Income</w:t>
            </w:r>
          </w:p>
        </w:tc>
      </w:tr>
      <w:tr>
        <w:trPr>
          <w:trHeight w:val="26"/>
        </w:trPr>
        <w:tc>
          <w:tcPr>
            <w:tcW w:w="2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r>
      <w:tr>
        <w:trPr>
          <w:trHeight w:val="352"/>
        </w:trPr>
        <w:tc>
          <w:tcPr>
            <w:tcW w:w="2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Statement of Operations</w:t>
            </w: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2"/>
        </w:trPr>
        <w:tc>
          <w:tcPr>
            <w:tcW w:w="21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40" w:type="dxa"/>
            <w:vAlign w:val="bottom"/>
          </w:tcPr>
          <w:p>
            <w:pPr>
              <w:spacing w:after="0"/>
              <w:rPr>
                <w:sz w:val="20"/>
                <w:szCs w:val="20"/>
                <w:color w:val="auto"/>
              </w:rPr>
            </w:pPr>
          </w:p>
        </w:tc>
        <w:tc>
          <w:tcPr>
            <w:tcW w:w="16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96"/>
              </w:rPr>
              <w:t>September 30, 2023</w:t>
            </w:r>
          </w:p>
        </w:tc>
      </w:tr>
      <w:tr>
        <w:trPr>
          <w:trHeight w:val="186"/>
        </w:trPr>
        <w:tc>
          <w:tcPr>
            <w:tcW w:w="2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80" w:type="dxa"/>
            <w:vAlign w:val="bottom"/>
            <w:tcBorders>
              <w:top w:val="single" w:sz="8" w:color="auto"/>
            </w:tcBorders>
          </w:tcPr>
          <w:p>
            <w:pPr>
              <w:spacing w:after="0"/>
              <w:rPr>
                <w:sz w:val="16"/>
                <w:szCs w:val="16"/>
                <w:color w:val="auto"/>
              </w:rPr>
            </w:pPr>
          </w:p>
        </w:tc>
      </w:tr>
      <w:tr>
        <w:trPr>
          <w:trHeight w:val="232"/>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2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52"/>
        </w:trPr>
        <w:tc>
          <w:tcPr>
            <w:tcW w:w="4820" w:type="dxa"/>
            <w:vAlign w:val="bottom"/>
            <w:gridSpan w:val="2"/>
          </w:tcPr>
          <w:p>
            <w:pPr>
              <w:ind w:left="240"/>
              <w:spacing w:after="0" w:line="252" w:lineRule="exact"/>
              <w:rPr>
                <w:sz w:val="20"/>
                <w:szCs w:val="20"/>
                <w:color w:val="auto"/>
              </w:rPr>
            </w:pPr>
            <w:r>
              <w:rPr>
                <w:rFonts w:ascii="Times New Roman" w:cs="Times New Roman" w:eastAsia="Times New Roman" w:hAnsi="Times New Roman"/>
                <w:sz w:val="18"/>
                <w:szCs w:val="18"/>
                <w:color w:val="auto"/>
              </w:rPr>
              <w:t>Inventory purchases</w:t>
            </w:r>
            <w:r>
              <w:rPr>
                <w:rFonts w:ascii="Times New Roman" w:cs="Times New Roman" w:eastAsia="Times New Roman" w:hAnsi="Times New Roman"/>
                <w:sz w:val="23"/>
                <w:szCs w:val="23"/>
                <w:color w:val="auto"/>
                <w:vertAlign w:val="superscript"/>
              </w:rPr>
              <w:t>(1)</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Cost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2"/>
        </w:trPr>
        <w:tc>
          <w:tcPr>
            <w:tcW w:w="4820" w:type="dxa"/>
            <w:vAlign w:val="bottom"/>
            <w:gridSpan w:val="2"/>
            <w:shd w:val="clear" w:color="auto" w:fill="CCEEFF"/>
          </w:tcPr>
          <w:p>
            <w:pPr>
              <w:ind w:left="240"/>
              <w:spacing w:after="0" w:line="252" w:lineRule="exact"/>
              <w:rPr>
                <w:sz w:val="20"/>
                <w:szCs w:val="20"/>
                <w:color w:val="auto"/>
              </w:rPr>
            </w:pPr>
            <w:r>
              <w:rPr>
                <w:rFonts w:ascii="Times New Roman" w:cs="Times New Roman" w:eastAsia="Times New Roman" w:hAnsi="Times New Roman"/>
                <w:sz w:val="18"/>
                <w:szCs w:val="18"/>
                <w:color w:val="auto"/>
              </w:rPr>
              <w:t>Interest rates</w:t>
            </w:r>
            <w:r>
              <w:rPr>
                <w:rFonts w:ascii="Times New Roman" w:cs="Times New Roman" w:eastAsia="Times New Roman" w:hAnsi="Times New Roman"/>
                <w:sz w:val="23"/>
                <w:szCs w:val="23"/>
                <w:color w:val="auto"/>
                <w:vertAlign w:val="superscript"/>
              </w:rPr>
              <w:t>(2)</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Other income (expense)</w:t>
            </w:r>
          </w:p>
        </w:tc>
        <w:tc>
          <w:tcPr>
            <w:tcW w:w="1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9"/>
        </w:trPr>
        <w:tc>
          <w:tcPr>
            <w:tcW w:w="4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 flow hedges</w:t>
            </w:r>
          </w:p>
        </w:tc>
        <w:tc>
          <w:tcPr>
            <w:tcW w:w="22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6"/>
        </w:trPr>
        <w:tc>
          <w:tcPr>
            <w:tcW w:w="4820" w:type="dxa"/>
            <w:vAlign w:val="bottom"/>
            <w:gridSpan w:val="2"/>
            <w:shd w:val="clear" w:color="auto" w:fill="CCEEFF"/>
          </w:tcPr>
          <w:p>
            <w:pPr>
              <w:ind w:left="140"/>
              <w:spacing w:after="0" w:line="206" w:lineRule="exact"/>
              <w:rPr>
                <w:sz w:val="20"/>
                <w:szCs w:val="20"/>
                <w:color w:val="auto"/>
              </w:rPr>
            </w:pPr>
            <w:r>
              <w:rPr>
                <w:rFonts w:ascii="Times New Roman" w:cs="Times New Roman" w:eastAsia="Times New Roman" w:hAnsi="Times New Roman"/>
                <w:sz w:val="18"/>
                <w:szCs w:val="18"/>
                <w:b w:val="1"/>
                <w:bCs w:val="1"/>
                <w:color w:val="auto"/>
              </w:rPr>
              <w:t>Other:</w:t>
            </w:r>
          </w:p>
        </w:tc>
        <w:tc>
          <w:tcPr>
            <w:tcW w:w="2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6"/>
        </w:trPr>
        <w:tc>
          <w:tcPr>
            <w:tcW w:w="4820" w:type="dxa"/>
            <w:vAlign w:val="bottom"/>
            <w:tcBorders>
              <w:bottom w:val="single" w:sz="8" w:color="CCEEFF"/>
            </w:tcBorders>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2480" w:type="dxa"/>
            <w:vAlign w:val="bottom"/>
            <w:tcBorders>
              <w:bottom w:val="single" w:sz="8" w:color="CCEEFF"/>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Interest income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w:t>
            </w:r>
          </w:p>
        </w:tc>
        <w:tc>
          <w:tcPr>
            <w:tcW w:w="2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26"/>
        </w:trPr>
        <w:tc>
          <w:tcPr>
            <w:tcW w:w="48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hedges</w:t>
            </w: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2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59"/>
        </w:trPr>
        <w:tc>
          <w:tcPr>
            <w:tcW w:w="2180" w:type="dxa"/>
            <w:vAlign w:val="bottom"/>
            <w:tcBorders>
              <w:bottom w:val="single" w:sz="8" w:color="auto"/>
            </w:tcBorders>
          </w:tcPr>
          <w:p>
            <w:pPr>
              <w:spacing w:after="0"/>
              <w:rPr>
                <w:sz w:val="22"/>
                <w:szCs w:val="22"/>
                <w:color w:val="auto"/>
              </w:rPr>
            </w:pPr>
          </w:p>
        </w:tc>
        <w:tc>
          <w:tcPr>
            <w:tcW w:w="2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pacing w:after="0" w:line="148" w:lineRule="exact"/>
        <w:rPr>
          <w:sz w:val="20"/>
          <w:szCs w:val="20"/>
          <w:color w:val="auto"/>
        </w:rPr>
      </w:pPr>
    </w:p>
    <w:p>
      <w:pPr>
        <w:ind w:left="320" w:hanging="314"/>
        <w:spacing w:after="0"/>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foreign currency exchange contracts ("FC") designated as derivative instruments in cash flow hedging relationships.</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28"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forward interest rate contracts ("IC") designated as derivative instruments in cash flow hedging relationships.</w:t>
      </w:r>
    </w:p>
    <w:p>
      <w:pPr>
        <w:spacing w:after="0" w:line="87" w:lineRule="exact"/>
        <w:rPr>
          <w:rFonts w:ascii="Times New Roman" w:cs="Times New Roman" w:eastAsia="Times New Roman" w:hAnsi="Times New Roman"/>
          <w:sz w:val="23"/>
          <w:szCs w:val="23"/>
          <w:color w:val="auto"/>
          <w:vertAlign w:val="superscript"/>
        </w:rPr>
      </w:pPr>
    </w:p>
    <w:p>
      <w:pPr>
        <w:jc w:val="both"/>
        <w:ind w:left="320" w:hanging="314"/>
        <w:spacing w:after="0" w:line="232" w:lineRule="auto"/>
        <w:tabs>
          <w:tab w:leader="none" w:pos="30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cross currency swap contracts ("CCS") and forward foreign exchange contracts ("FC") designated as derivative instruments in net investment hedging relationships, for which the difference between changes in fair value and periodic amortization of excluded components is recorded within AOCI.</w:t>
      </w:r>
    </w:p>
    <w:p>
      <w:pPr>
        <w:spacing w:after="0" w:line="88"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expects that $12.6 million of net derivative gain related to inventory purchases and interest rates included in Accumulated other comprehensive income at September 28, 2024 will be reclassified into earnings within the next 12 months. This amount will vary due to fluctuations in foreign currency exchange rates.</w:t>
      </w:r>
    </w:p>
    <w:p>
      <w:pPr>
        <w:spacing w:after="0" w:line="7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assesses the cross-currency swaps and forward exchange contracts used as net investment hedges under the spot method. This results in the cross-currency basis spread on the cross-currency swaps and the difference between the spot rate and the forward rate of the forward exchange contract being excluded from the assessment of hedge effectiveness, and recorded as incurred as a reduction in Interest expense, net in the Company’s Condensed Consolidated Statements of Operations. Accordingly, the Company recorded net interest income of $6.1 million and $7.2 million during three months ended September 28, 2024 and September 30, 2023,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weighted-average number of shares outstanding during the period. Diluted net income per share is calculated similarly but includes potential dilution from the exercise of stock options and restricted stock units and any other potentially dilutive instruments, only in the periods in which such effects are dilutive under the treasury stock method.</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reconciliation of the weighted-average shares outstanding and calculation of basic and diluted earnings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09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9"/>
        </w:trPr>
        <w:tc>
          <w:tcPr>
            <w:tcW w:w="7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186"/>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2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r>
      <w:tr>
        <w:trPr>
          <w:trHeight w:val="25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shares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6"/>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diluted shares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9"/>
        </w:trPr>
        <w:tc>
          <w:tcPr>
            <w:tcW w:w="7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1"/>
        </w:trPr>
        <w:tc>
          <w:tcPr>
            <w:tcW w:w="7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726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0.84</w:t>
            </w:r>
          </w:p>
        </w:tc>
      </w:tr>
      <w:tr>
        <w:trPr>
          <w:trHeight w:val="20"/>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Earnings per share amounts have been calculated based on unrounded numbers. Options to purchase shares of the Company's common stock at an exercise price greater than the average market price of the common stock during the reporting period are anti-dilutive and therefore not included in the computation of diluted net income (loss) per common share. In addition, the Company has outstanding restricted stock unit awards that are issuable only upon the achievement of certain performance goals. Performance-based restricted stock unit awards are included in the computation of diluted shares only to the extent that the underlying performance conditions and any applicable market condition modifiers (i) are satisfied as of the end of the reporting period or</w:t>
      </w:r>
    </w:p>
    <w:p>
      <w:pPr>
        <w:spacing w:after="0" w:line="2" w:lineRule="exact"/>
        <w:rPr>
          <w:sz w:val="20"/>
          <w:szCs w:val="20"/>
          <w:color w:val="auto"/>
        </w:rPr>
      </w:pPr>
    </w:p>
    <w:p>
      <w:pPr>
        <w:jc w:val="both"/>
        <w:ind w:firstLine="6"/>
        <w:spacing w:after="0" w:line="248"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considered satisfied if the end of the reporting period were the end of the related contingency period and the result would be dilutive under the treasury stock method. As of September 28, 2024 and September 30, 2023, there were 2.1 million and 3.7 million, respectively, of additional shares issuable upon exercise of anti-dilutive options and contingent vesting of performance-based restricted stock unit awards, which were excluded from the diluted share calculations.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shows the share-based compensation expense and the related tax benefits recognized in the Company's Condensed Consolidated Statements of Operations for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jc w:val="center"/>
              <w:ind w:right="73"/>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219"/>
        </w:trPr>
        <w:tc>
          <w:tcPr>
            <w:tcW w:w="7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w w:val="98"/>
              </w:rPr>
              <w:t>September 30, 2023</w:t>
            </w:r>
          </w:p>
        </w:tc>
      </w:tr>
      <w:tr>
        <w:trPr>
          <w:trHeight w:val="186"/>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2"/>
          </w:tcPr>
          <w:p>
            <w:pPr>
              <w:jc w:val="center"/>
              <w:ind w:left="143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00" w:type="dxa"/>
            <w:vAlign w:val="bottom"/>
          </w:tcPr>
          <w:p>
            <w:pPr>
              <w:spacing w:after="0"/>
              <w:rPr>
                <w:sz w:val="16"/>
                <w:szCs w:val="16"/>
                <w:color w:val="auto"/>
              </w:rPr>
            </w:pP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share-based compensation expense</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05"/>
        </w:trPr>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9"/>
        </w:trPr>
        <w:tc>
          <w:tcPr>
            <w:tcW w:w="9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summary of stock option activity during the three months ended September 28, 2024 is as follows:</w:t>
            </w: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05"/>
        </w:trPr>
        <w:tc>
          <w:tcPr>
            <w:tcW w:w="7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jc w:val="center"/>
              <w:ind w:right="313"/>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173"/>
        </w:trPr>
        <w:tc>
          <w:tcPr>
            <w:tcW w:w="7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right="253"/>
              <w:spacing w:after="0" w:line="173" w:lineRule="exact"/>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36"/>
        </w:trPr>
        <w:tc>
          <w:tcPr>
            <w:tcW w:w="7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8"/>
                <w:szCs w:val="18"/>
                <w:b w:val="1"/>
                <w:bCs w:val="1"/>
                <w:color w:val="auto"/>
                <w:w w:val="97"/>
              </w:rPr>
              <w:t>Outstanding</w:t>
            </w:r>
          </w:p>
        </w:tc>
      </w:tr>
      <w:tr>
        <w:trPr>
          <w:trHeight w:val="189"/>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29, 2024</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6"/>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26"/>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26"/>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 or expired</w:t>
            </w:r>
          </w:p>
        </w:tc>
        <w:tc>
          <w:tcPr>
            <w:tcW w:w="1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28, 2024</w:t>
            </w:r>
          </w:p>
        </w:tc>
        <w:tc>
          <w:tcPr>
            <w:tcW w:w="1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September 28, 2024 and September 30, 2023 was $12.06 and $10.51, respectively. The fair value of each option grant is estimated on the date of grant using the Black-Scholes option pricing model and the following weighted-average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0" w:type="dxa"/>
            <w:vAlign w:val="bottom"/>
          </w:tcPr>
          <w:p>
            <w:pPr>
              <w:spacing w:after="0"/>
              <w:rPr>
                <w:sz w:val="20"/>
                <w:szCs w:val="20"/>
                <w:color w:val="auto"/>
              </w:rPr>
            </w:pPr>
          </w:p>
        </w:tc>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30, 2023</w:t>
            </w:r>
          </w:p>
        </w:tc>
      </w:tr>
      <w:tr>
        <w:trPr>
          <w:trHeight w:val="21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40.9 %</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w:t>
            </w:r>
          </w:p>
        </w:tc>
        <w:tc>
          <w:tcPr>
            <w:tcW w:w="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405"/>
        </w:trPr>
        <w:tc>
          <w:tcPr>
            <w:tcW w:w="7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 Awards ("RSUs")</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19"/>
        </w:trPr>
        <w:tc>
          <w:tcPr>
            <w:tcW w:w="9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summary of service-based RSU activity during the three months ended September 28, 2024 is as follows:</w:t>
            </w:r>
          </w:p>
        </w:tc>
        <w:tc>
          <w:tcPr>
            <w:tcW w:w="2060" w:type="dxa"/>
            <w:vAlign w:val="bottom"/>
          </w:tcPr>
          <w:p>
            <w:pPr>
              <w:spacing w:after="0"/>
              <w:rPr>
                <w:sz w:val="24"/>
                <w:szCs w:val="24"/>
                <w:color w:val="auto"/>
              </w:rPr>
            </w:pPr>
          </w:p>
        </w:tc>
      </w:tr>
      <w:tr>
        <w:trPr>
          <w:trHeight w:val="305"/>
        </w:trPr>
        <w:tc>
          <w:tcPr>
            <w:tcW w:w="7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6"/>
        </w:trPr>
        <w:tc>
          <w:tcPr>
            <w:tcW w:w="7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Non-vested RSUs</w:t>
            </w:r>
          </w:p>
        </w:tc>
      </w:tr>
      <w:tr>
        <w:trPr>
          <w:trHeight w:val="189"/>
        </w:trPr>
        <w:tc>
          <w:tcPr>
            <w:tcW w:w="7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2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60" w:type="dxa"/>
            <w:vAlign w:val="bottom"/>
            <w:shd w:val="clear" w:color="auto" w:fill="CCEEFF"/>
          </w:tcPr>
          <w:p>
            <w:pPr>
              <w:jc w:val="center"/>
              <w:ind w:left="1613"/>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jc w:val="center"/>
              <w:ind w:left="1613"/>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26"/>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8"/>
              </w:rPr>
              <w:t>(2.1)</w:t>
            </w:r>
          </w:p>
        </w:tc>
      </w:tr>
      <w:tr>
        <w:trPr>
          <w:trHeight w:val="226"/>
        </w:trPr>
        <w:tc>
          <w:tcPr>
            <w:tcW w:w="7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center"/>
              <w:ind w:left="1593"/>
              <w:spacing w:after="0"/>
              <w:rPr>
                <w:sz w:val="20"/>
                <w:szCs w:val="20"/>
                <w:color w:val="auto"/>
              </w:rPr>
            </w:pPr>
            <w:r>
              <w:rPr>
                <w:rFonts w:ascii="Times New Roman" w:cs="Times New Roman" w:eastAsia="Times New Roman" w:hAnsi="Times New Roman"/>
                <w:sz w:val="18"/>
                <w:szCs w:val="18"/>
                <w:b w:val="1"/>
                <w:bCs w:val="1"/>
                <w:color w:val="auto"/>
                <w:w w:val="98"/>
              </w:rPr>
              <w:t>(0.1)</w:t>
            </w:r>
          </w:p>
        </w:tc>
      </w:tr>
      <w:tr>
        <w:trPr>
          <w:trHeight w:val="244"/>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28, 2024</w:t>
            </w:r>
          </w:p>
        </w:tc>
        <w:tc>
          <w:tcPr>
            <w:tcW w:w="2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auto"/>
            </w:tcBorders>
            <w:shd w:val="clear" w:color="auto" w:fill="CCEEFF"/>
          </w:tcPr>
          <w:p>
            <w:pPr>
              <w:jc w:val="center"/>
              <w:ind w:left="1613"/>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weighted-average grant-date fair value of share awards granted during the three months ended September 28, 2024 and September 30, 2023 was $40.65 and $33.70,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 ("PRSUs")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PRSU activity during the three months ended September 28, 2024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6"/>
        </w:trPr>
        <w:tc>
          <w:tcPr>
            <w:tcW w:w="91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Non-vested PRSUs</w:t>
            </w:r>
          </w:p>
        </w:tc>
      </w:tr>
      <w:tr>
        <w:trPr>
          <w:trHeight w:val="189"/>
        </w:trPr>
        <w:tc>
          <w:tcPr>
            <w:tcW w:w="91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29, 2024</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6"/>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Change due to performance condition achievement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6"/>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26"/>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1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28, 2024</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91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PRSU awards included in the non-vested amount are based on certain Company-specific financial metrics. The effect of the change due to performance condition on the non-vested amount is recognized at the conclusion of the performance period, which may differ from the date on which the award vests.</w:t>
      </w:r>
    </w:p>
    <w:p>
      <w:pPr>
        <w:spacing w:after="0" w:line="71"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weighted-average grant-date fair value per share of PRSU awards granted during the three months ended September 28, 2024 and September 30, 2023 was $40.66 and $33.64,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9"/>
        </w:trPr>
        <w:tc>
          <w:tcPr>
            <w:tcW w:w="320" w:type="dxa"/>
            <w:vAlign w:val="bottom"/>
          </w:tcPr>
          <w:p>
            <w:pPr>
              <w:spacing w:after="0"/>
              <w:rPr>
                <w:sz w:val="24"/>
                <w:szCs w:val="24"/>
                <w:color w:val="auto"/>
              </w:rPr>
            </w:pPr>
          </w:p>
        </w:tc>
        <w:tc>
          <w:tcPr>
            <w:tcW w:w="78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The following table summarizes the components of the Company’s outstanding debt:</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5"/>
        </w:trPr>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400" w:type="dxa"/>
            <w:vAlign w:val="bottom"/>
          </w:tcPr>
          <w:p>
            <w:pPr>
              <w:spacing w:after="0"/>
              <w:rPr>
                <w:sz w:val="24"/>
                <w:szCs w:val="24"/>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2024</w:t>
            </w:r>
          </w:p>
        </w:tc>
      </w:tr>
      <w:tr>
        <w:trPr>
          <w:trHeight w:val="189"/>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r>
      <w:tr>
        <w:trPr>
          <w:trHeight w:val="232"/>
        </w:trPr>
        <w:tc>
          <w:tcPr>
            <w:tcW w:w="320" w:type="dxa"/>
            <w:vAlign w:val="bottom"/>
          </w:tcPr>
          <w:p>
            <w:pPr>
              <w:spacing w:after="0"/>
              <w:rPr>
                <w:sz w:val="20"/>
                <w:szCs w:val="20"/>
                <w:color w:val="auto"/>
              </w:rPr>
            </w:pPr>
          </w:p>
        </w:tc>
        <w:tc>
          <w:tcPr>
            <w:tcW w:w="7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Debt: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6"/>
        </w:trPr>
        <w:tc>
          <w:tcPr>
            <w:tcW w:w="320" w:type="dxa"/>
            <w:vAlign w:val="bottom"/>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4.250% Senior Notes due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44"/>
        </w:trPr>
        <w:tc>
          <w:tcPr>
            <w:tcW w:w="320" w:type="dxa"/>
            <w:vAlign w:val="bottom"/>
          </w:tcPr>
          <w:p>
            <w:pPr>
              <w:spacing w:after="0"/>
              <w:rPr>
                <w:sz w:val="20"/>
                <w:szCs w:val="20"/>
                <w:color w:val="auto"/>
              </w:rPr>
            </w:pPr>
          </w:p>
        </w:tc>
        <w:tc>
          <w:tcPr>
            <w:tcW w:w="78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320" w:type="dxa"/>
            <w:vAlign w:val="bottom"/>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320" w:type="dxa"/>
            <w:vAlign w:val="bottom"/>
          </w:tcPr>
          <w:p>
            <w:pPr>
              <w:spacing w:after="0"/>
              <w:rPr>
                <w:sz w:val="19"/>
                <w:szCs w:val="19"/>
                <w:color w:val="auto"/>
              </w:rPr>
            </w:pPr>
          </w:p>
        </w:tc>
        <w:tc>
          <w:tcPr>
            <w:tcW w:w="7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6"/>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8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USD Senior Notes: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6"/>
        </w:trPr>
        <w:tc>
          <w:tcPr>
            <w:tcW w:w="3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6"/>
        </w:trPr>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6"/>
        </w:trPr>
        <w:tc>
          <w:tcPr>
            <w:tcW w:w="320" w:type="dxa"/>
            <w:vAlign w:val="bottom"/>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6"/>
        </w:trPr>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320" w:type="dxa"/>
            <w:vAlign w:val="bottom"/>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6"/>
        </w:trPr>
        <w:tc>
          <w:tcPr>
            <w:tcW w:w="320" w:type="dxa"/>
            <w:vAlign w:val="bottom"/>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186"/>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8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EUR Senior Notes:</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46"/>
        </w:trPr>
        <w:tc>
          <w:tcPr>
            <w:tcW w:w="32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7000" w:type="dxa"/>
            <w:vAlign w:val="bottom"/>
            <w:gridSpan w:val="3"/>
            <w:shd w:val="clear" w:color="auto" w:fill="CCEEFF"/>
          </w:tcPr>
          <w:p>
            <w:pPr>
              <w:ind w:left="20"/>
              <w:spacing w:after="0" w:line="245"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6"/>
        </w:trPr>
        <w:tc>
          <w:tcPr>
            <w:tcW w:w="3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700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6"/>
        </w:trPr>
        <w:tc>
          <w:tcPr>
            <w:tcW w:w="320" w:type="dxa"/>
            <w:vAlign w:val="bottom"/>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700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9"/>
        </w:trPr>
        <w:tc>
          <w:tcPr>
            <w:tcW w:w="320" w:type="dxa"/>
            <w:vAlign w:val="bottom"/>
          </w:tcPr>
          <w:p>
            <w:pPr>
              <w:spacing w:after="0"/>
              <w:rPr>
                <w:sz w:val="19"/>
                <w:szCs w:val="19"/>
                <w:color w:val="auto"/>
              </w:rPr>
            </w:pPr>
          </w:p>
        </w:tc>
        <w:tc>
          <w:tcPr>
            <w:tcW w:w="78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7,071.5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7,003</w:t>
            </w:r>
          </w:p>
        </w:tc>
      </w:tr>
      <w:tr>
        <w:trPr>
          <w:trHeight w:val="219"/>
        </w:trPr>
        <w:tc>
          <w:tcPr>
            <w:tcW w:w="3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 on senior notes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9"/>
        </w:trPr>
        <w:tc>
          <w:tcPr>
            <w:tcW w:w="320" w:type="dxa"/>
            <w:vAlign w:val="bottom"/>
          </w:tcPr>
          <w:p>
            <w:pPr>
              <w:spacing w:after="0"/>
              <w:rPr>
                <w:sz w:val="19"/>
                <w:szCs w:val="19"/>
                <w:color w:val="auto"/>
              </w:rPr>
            </w:pPr>
          </w:p>
        </w:tc>
        <w:tc>
          <w:tcPr>
            <w:tcW w:w="78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7,008.3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w:t>
            </w: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2"/>
        </w:trPr>
        <w:tc>
          <w:tcPr>
            <w:tcW w:w="3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168" w:lineRule="exact"/>
        <w:rPr>
          <w:sz w:val="20"/>
          <w:szCs w:val="20"/>
          <w:color w:val="auto"/>
        </w:rPr>
      </w:pPr>
    </w:p>
    <w:p>
      <w:pPr>
        <w:ind w:left="320" w:right="100" w:hanging="314"/>
        <w:spacing w:after="0" w:line="226"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Capri Acquisition EUR Senior Notes include the impact of changes in the exchange rate of the United States Dollar against the Euro.</w:t>
      </w:r>
    </w:p>
    <w:p>
      <w:pPr>
        <w:spacing w:after="0" w:line="87" w:lineRule="exact"/>
        <w:rPr>
          <w:sz w:val="20"/>
          <w:szCs w:val="20"/>
          <w:color w:val="auto"/>
        </w:rPr>
      </w:pPr>
    </w:p>
    <w:p>
      <w:pPr>
        <w:jc w:val="both"/>
        <w:ind w:right="100" w:firstLine="319"/>
        <w:spacing w:after="0" w:line="275" w:lineRule="auto"/>
        <w:rPr>
          <w:sz w:val="20"/>
          <w:szCs w:val="20"/>
          <w:color w:val="auto"/>
        </w:rPr>
      </w:pPr>
      <w:r>
        <w:rPr>
          <w:rFonts w:ascii="Times New Roman" w:cs="Times New Roman" w:eastAsia="Times New Roman" w:hAnsi="Times New Roman"/>
          <w:sz w:val="18"/>
          <w:szCs w:val="18"/>
          <w:color w:val="auto"/>
        </w:rPr>
        <w:t>During the three months ended September 28, 2024 and September 30, 2023, the Company recognized interest expense related to the outstanding debt of $123.2 million and $22.3 million, respectively.</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Acquisition</w:t>
      </w:r>
    </w:p>
    <w:p>
      <w:pPr>
        <w:spacing w:after="0" w:line="116"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In order to finance the Capri Acquisition, on November 27, 2023, the Company issued $4.50 billion Capri Acquisition USD Senior Notes and €1.50 billion Capri Acquisition EUR Senior Notes which, together with the $1.40 billion of delayed draw Capri Acquisition Term Loan Facilities executed on August 30, 2023, complete the expected financing for the Capri Acquisition. Refer to Note 5, "Acquisitions," for further information.</w:t>
      </w:r>
    </w:p>
    <w:p>
      <w:pPr>
        <w:spacing w:after="0" w:line="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Bridge Facility</w:t>
      </w:r>
    </w:p>
    <w:p>
      <w:pPr>
        <w:spacing w:after="0" w:line="116" w:lineRule="exact"/>
        <w:rPr>
          <w:sz w:val="20"/>
          <w:szCs w:val="20"/>
          <w:color w:val="auto"/>
        </w:rPr>
      </w:pPr>
    </w:p>
    <w:p>
      <w:pPr>
        <w:jc w:val="both"/>
        <w:ind w:right="100" w:firstLine="319"/>
        <w:spacing w:after="0" w:line="251" w:lineRule="auto"/>
        <w:rPr>
          <w:sz w:val="20"/>
          <w:szCs w:val="20"/>
          <w:color w:val="auto"/>
        </w:rPr>
      </w:pPr>
      <w:r>
        <w:rPr>
          <w:rFonts w:ascii="Times New Roman" w:cs="Times New Roman" w:eastAsia="Times New Roman" w:hAnsi="Times New Roman"/>
          <w:sz w:val="18"/>
          <w:szCs w:val="18"/>
          <w:color w:val="auto"/>
        </w:rPr>
        <w:t>In connection with our entry into the Merger Agreement, the Company entered into a commitment letter, dated as of August 10, 2023, with Bank of America, N.A., Morgan Stanley Senior Funding, Inc. and the other commitment parties party thereto, to provide a 364-day senior unsecured bridge loan facility in an aggregate principal amount of up to $8.00 billion (the "Bridge Facility") to fund the purchase price of the Capri Acquisition and to pay related fees and expenses. Upon entering into the Capri Acquisition Term Loan Credit Agreement (as defined below) and, as a result of the commitments thereunder with respect to the Capri Acquisition Term Loan Facilities (as defined below), the Bridge Facility commitments were reduced to $6.60 billion. In November 2023, the Bridge Facility was terminated upon the issuance of approximately $6.10 billion of the Capri Acquisition Senior Notes by the Company. Refer to the "Capri Acquisition USD Senior Notes" and "Capri Acquisition EUR Senior Notes" paragraphs below.</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Term Loan Facilities</w:t>
      </w:r>
    </w:p>
    <w:p>
      <w:pPr>
        <w:spacing w:after="0" w:line="11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August 30, 2023, the Company entered into a definitive credit agreement (such agreement, the "Capri Acquisition Term Loan Credit Agreement") whereby Bank of America, N.A, as administrative agent, and the other agents party thereto, and a syndicate of banks and financial institutions have committed to lend the Company, subject to the satisfaction or waiver of the conditions set forth in the Capri Acquisition Term Loan Credit Agreement, the Capri Acquisition Term Loan Facilities consisting of a $1.05 billion unsecured term loan facility maturing three years after the term loans thereunder are borrowed (the “Three-Year Term Loan Facility”) and a $350.0 million term loan facility maturing five years after the term loans thereunder are borrowed (the “Five-Year Term Loan Facility”). The Company plans to use borrowings under the Capri Acquisition Term Loan Facilities to pay a portion of the consideration for the Capri Acquisition and to pay related fees and expenses.</w:t>
      </w:r>
    </w:p>
    <w:p>
      <w:pPr>
        <w:spacing w:after="0" w:line="78"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Borrowings under the Capri Acquisition Term Loan Facilities bear interest at a rate per annum equal to, at the Company’s option, either (a) an alternate base rate or (b) a rate based on the forward-looking Secured Overnight Financing Rate ("SOFR") term rate administered by CME Group Benchmark Administration Limited (or any successor administrator) plus, in each case, an applicable margin. The applicable margin will be adjusted by reference to a grid based on the ratio of (a) consolidated debt (with certain customary deductions for unrestricted cash and permitted investments) to (b) consolidated EBITDAR. The applicable margin will initially be (x) in the case of the Three-Year Term Loan Facility, 0.250% for base rate loans and 1.250% for SOFR loans and (y) in the case of the Five-Year Term Loan Facility, 0.375% for base rate loans and 1.375% for SOFR loans. Additionally, the Company will pay a ticking fee of 0.15% on the average daily amount of the unused commitments of the Capri Acquisition Term Loan Facilities. There were no outstanding borrowings on the Capri Acquisition Term Loan Facilities as of September 28, 2024.</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$2.00 Billion Revolving Credit Facility</w:t>
      </w:r>
    </w:p>
    <w:p>
      <w:pPr>
        <w:spacing w:after="0" w:line="1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August 30, 2023, pursuant to that certain Amendment No. 1 to Credit Agreement (the "Amendment"), the Company amended its Existing Credit Agreement (as defined below), originally dated as of May 11, 2022, among the Company, as borrower, certain of our subsidiaries, as guarantors, Bank of America, N.A., as administrative agent, and the financial institutions parties thereto as lenders (the "Existing Credit Agreement", and as amended by the Amendment, the "Amended Credit Agreement"). Under the Amended Credit Agreement, a syndicate of financial institutions and other lenders provided increases to the aggregate commitments to the revolving facility under the Existing Credit Agreement from $1.25 billion to $2.00 billion (the “Revolving Credit Facility”). The Revolving Credit Facility will mature on May 11, 2027.</w:t>
      </w:r>
    </w:p>
    <w:p>
      <w:pPr>
        <w:spacing w:after="0" w:line="7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at the Company’s option, (i) for borrowings in U.S. Dollars, either (a) an alternate base rate or (b) a rate based on the forward-looking SOFR term rate administered by CME Group Benchmark Administration Limited (or any successor administrator satisfactory to the administrative agent), (ii) for borrowings in Euros, the Euro Interbank Offered Rate, (iii) for borrowings in Pounds Sterling, the Sterling Overnight Index Average Reference Rate and (iv) for borrowings in Japanese Yen, the Tokyo Interbank Offer Rate, plus, in each case, an applicable margin. The applicable margin will be adjusted by reference to a grid (the “Pricing Grid”) based on the ratio of (a) consolidated debt to (b) consolidated EBITDAR. Additionally, the Company will pay facility fees, calculated at a rate per annum determined in accordance with the Pricing Grid, on the full amount of the Revolving Credit Facility, payable quarterly in arrears, and certain fees with respect to letters of credit that are issued. The Revolving Credit Facility may be used to finance the working capital needs, capital expenditures, permitted investments, share purchases, dividends and other general corporate purposes of the Company and its subsidiaries (which may include commercial paper backup). Additionally, up to $250 million of the Revolving Credit Facility will be available on a funds certain basis to fund the purchase price of the Capri Acquisition and to pay related fees and expenses. There were no outstanding borrowings on the Revolving Credit Facility as of September 28, 2024.</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USD Senior Notes</w:t>
      </w:r>
    </w:p>
    <w:p>
      <w:pPr>
        <w:spacing w:after="0" w:line="11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On November 27, 2023, the Company issued $4.50 billion aggregate principal amount of the Capri Acquisition USD Senior Notes, consisting of $500.0 million aggregate principal amount of 7.050% senior unsecured notes due November 27, 2025 at 99.890% of par (the “7.050% Senior Notes due 2025”), $750.0 million aggregate principal amount of 7.000% senior unsecured notes due November 27, 2026 at 99.803% of par (the “7.000% Senior Notes due 2026”), $1.00 billion aggregate principal amount of 7.350% senior unsecured notes due November 27, 2028 at 99.724% (the “7.350% Senior Notes due 2028”), $1.00 billion aggregate principal amount of 7.700% Senior Notes due November 27, 2030 at 99.712% of par (the “7.700% Senior Notes due 2030”) and $1.25 billion aggregate principal amount of our 7.850% Senior Notes due November 27, 2033 at 99.475% (the “7.850% Senior Notes due 2033”). The Company will pay interest semi-annually on the Capri Acquisition USD Senior Notes on May 27 and November 27 of each year, commencing on May 27,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If (i) the Capri Acquisition has not been completed by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USD Senior Notes will be redeemed at a redemption price equal to 101% of their principal amount, plus accrued and unpaid interest to, but excluding, the special mandatory redemption date.</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Acquisition EUR Senior Notes</w:t>
      </w:r>
    </w:p>
    <w:p>
      <w:pPr>
        <w:spacing w:after="0" w:line="116"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On November 27, 2023, the Company issued €1.50 billion aggregate principal amount of Capri Acquisition Senior Notes, consisting of €500.0 million aggregate principal amount of 5.350% senior unsecured notes due November 27, 2025 at 99.878% of par (the “5.350% EUR Senior Notes due 2025”), €500.0 million aggregate principal amount of 5.375% senior unsecured notes due November 27, 2027 at 99.723% of par (the 5.375% EUR Senior Notes due 2027”) and €500.0 million aggregate principal amount of our 5.875% senior unsecured notes due November 27, 2031 at 99.248% of par (the “5.875% EUR Senior Notes due 2031"). The Company will pay interest annually on the Capri Acquisition EUR Senior Notes on November 27 of each year, commencing on November 27, 2024. As of September 28, 2024, the carrying amount for each of the Capri Acquisition EUR Senior Notes was $558.3 million.</w:t>
      </w:r>
    </w:p>
    <w:p>
      <w:pPr>
        <w:spacing w:after="0" w:line="6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If (i) the Capri Acquisition has not been completed by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EUR Senior Notes will be redeemed at a redemption price equal to 101% of their principal amount, plus accrued and unpaid interest to, but excluding, the special mandatory redemption date.</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Term Loan due 2027</w:t>
      </w:r>
    </w:p>
    <w:p>
      <w:pPr>
        <w:spacing w:after="0" w:line="116"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On May 11, 2022, pursuant to the Existing Credit Agreement, the Company entered into an unsecured $500.0 million Term Loan (the “Term Loan due 2027”) with a maturity date on May 11, 2027. The Term Loan due 2027 amortizes in an amount equal to 5.000% per annum, with payments made quarterly. Borrowings under the Term Loan due 2027 bear interest at a rate per annum equal to, at the Company’s option, either (i) an alternate base rate or (ii) a term secured overnight financing rate plus, in each case, an applicable margin. The applicable margin will be adjusted by reference to a pricing grid based on the ratio (a) consolidated debt to (b) consolidated EBITDAR. The Company repaid its outstanding borrowings under the Term Loan due 2027 on May 31, 2024.</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2025, 2027, 2032 Senior Notes</w:t>
      </w:r>
    </w:p>
    <w:p>
      <w:pPr>
        <w:spacing w:after="0" w:line="1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March 2015, the Company issued $600.0 million aggregate principal amount of 4.250% senior unsecured notes due April 1, 2025 at 99.445% of par (the "4.250% Senior Notes due 2025"). In June 2017, the Company issued $600.0 million aggregate principal amount of 4.125% senior unsecured notes due July 15, 2027 at 99.858% of par (the 4.125% Senior Notes due 2027"). In December 2021, the Company completed a cash tender offer for $296.6 million and $203.4 million of the outstanding aggregate principal amount under its 4.250% Senior Notes due 2025 and 4.125% Senior Notes due 2027, respectively. In addition, in December 2021, the Company issued $500.0 million aggregate principal amount of 3.050% senior unsecured notes due March 15, 2032 at 99.705% of par (the "3.050% Senior Notes due 2032").</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China Credit Facility</w:t>
      </w:r>
    </w:p>
    <w:p>
      <w:pPr>
        <w:spacing w:after="0" w:line="116"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On May 20, 2024, the Company entered into a short-term credit facility (“China Credit Facility”) with Citibank, which may be used to fund general working capital needs, not to exceed 12 months, and is subject to annual renewal. The China Credit Facility provides the Company with a maximum facility amount of up to RMB 250.0 million (approximately $35.7 million), which includes a loan of up to RMB 85.0 million (approximately $12.1 million), a bank guarantee facility of up to RMB 15.0 million (approximately $2.2 million) and Accounts payable financing of up to RMB 150.0 million (approximately $21.4 million). As of September 28, 2024, there were no borrowings, bank guarantees or Accounts Payable financing outstanding under the China Credit Facility.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Under the terms of our debt facilities, we must comply with certain restrictions limiting the Company’s ability to among other things: (i) incur certain indebtedness, (ii) create certain liens, (iii) enter into certain sale and leaseback transactions, (iv) make certain investments or payments and (v) merge, or consolidate or transfer, sell or lease all or substantially all of the Company’s assets.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Under the Amended Credit Agreement, we are required to comply on a quarterly basis with a maximum net leverage ratio of 4.00:1.00. After giving effect to the Capri Acquisition, the Company is will be required under the Amended Credit Agreement and the Capri Acquisition Term Loan Credit Agreement to comply on a quarterly basis with a maximum net leverage ratio of (i) from and including the closing date of the Capri Acquisition to but excluding June 28, 2025, 4.75 to 1.00, (ii) from and including June 28, 2025 to but excluding June 27, 2026, 4.50 to 1.00, and (iii) from and including June 27, 2026 and thereafter, 4.00 to 1.00. As of September 28, 2024, we were in compliance with these restrictions and covenants, have met such financial ratios and have met all debt payment obligations.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Considerations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following table shows the estimated fair values of the senior unsecured notes at September 28, 2024 and June 29, 2024 based on external pricing data, including available quoted market prices of the instruments, and consideration of comparable debt instruments with similar interest rates and trading frequency, among other factors, and are classified as Level 2 measurements within the fair value hierarchy: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420" w:type="dxa"/>
            <w:vAlign w:val="bottom"/>
          </w:tcPr>
          <w:p>
            <w:pPr>
              <w:spacing w:after="0"/>
              <w:rPr>
                <w:sz w:val="17"/>
                <w:szCs w:val="17"/>
                <w:color w:val="auto"/>
              </w:rPr>
            </w:pPr>
          </w:p>
        </w:tc>
        <w:tc>
          <w:tcPr>
            <w:tcW w:w="122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2024</w:t>
            </w:r>
          </w:p>
        </w:tc>
      </w:tr>
      <w:tr>
        <w:trPr>
          <w:trHeight w:val="189"/>
        </w:trPr>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6"/>
                <w:szCs w:val="16"/>
                <w:color w:val="auto"/>
              </w:rPr>
            </w:pPr>
          </w:p>
        </w:tc>
      </w:tr>
      <w:tr>
        <w:trPr>
          <w:trHeight w:val="192"/>
        </w:trPr>
        <w:tc>
          <w:tcPr>
            <w:tcW w:w="40" w:type="dxa"/>
            <w:vAlign w:val="bottom"/>
            <w:tcBorders>
              <w:right w:val="single" w:sz="8" w:color="CCEEFF"/>
            </w:tcBorders>
            <w:shd w:val="clear" w:color="auto" w:fill="CCEEFF"/>
          </w:tcPr>
          <w:p>
            <w:pPr>
              <w:spacing w:after="0"/>
              <w:rPr>
                <w:sz w:val="16"/>
                <w:szCs w:val="16"/>
                <w:color w:val="auto"/>
              </w:rPr>
            </w:pPr>
          </w:p>
        </w:tc>
        <w:tc>
          <w:tcPr>
            <w:tcW w:w="786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USD Senior Notes: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40"/>
        </w:trPr>
        <w:tc>
          <w:tcPr>
            <w:tcW w:w="40" w:type="dxa"/>
            <w:vAlign w:val="bottom"/>
            <w:tcBorders>
              <w:right w:val="single" w:sz="8" w:color="CCEEFF"/>
            </w:tcBorders>
            <w:shd w:val="clear" w:color="auto" w:fill="CCEEFF"/>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7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226"/>
        </w:trPr>
        <w:tc>
          <w:tcPr>
            <w:tcW w:w="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301.6</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510.6</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26"/>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2026</w:t>
            </w: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778.1</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w:t>
            </w:r>
          </w:p>
        </w:tc>
      </w:tr>
      <w:tr>
        <w:trPr>
          <w:trHeight w:val="22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390.6</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26"/>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1,052.8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2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1,074.2</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r>
      <w:tr>
        <w:trPr>
          <w:trHeight w:val="226"/>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Notes due 2032</w:t>
            </w: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430.0</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2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7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2033</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1,358.5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1,311.3</w:t>
            </w:r>
          </w:p>
        </w:tc>
      </w:tr>
      <w:tr>
        <w:trPr>
          <w:trHeight w:val="196"/>
        </w:trPr>
        <w:tc>
          <w:tcPr>
            <w:tcW w:w="40" w:type="dxa"/>
            <w:vAlign w:val="bottom"/>
          </w:tcPr>
          <w:p>
            <w:pPr>
              <w:spacing w:after="0"/>
              <w:rPr>
                <w:sz w:val="17"/>
                <w:szCs w:val="17"/>
                <w:color w:val="auto"/>
              </w:rPr>
            </w:pPr>
          </w:p>
        </w:tc>
        <w:tc>
          <w:tcPr>
            <w:tcW w:w="1360" w:type="dxa"/>
            <w:vAlign w:val="bottom"/>
            <w:tcBorders>
              <w:bottom w:val="single" w:sz="8" w:color="auto"/>
            </w:tcBorders>
            <w:gridSpan w:val="2"/>
          </w:tcPr>
          <w:p>
            <w:pPr>
              <w:spacing w:after="0" w:line="186" w:lineRule="exact"/>
              <w:rPr>
                <w:sz w:val="20"/>
                <w:szCs w:val="20"/>
                <w:color w:val="auto"/>
              </w:rPr>
            </w:pPr>
            <w:r>
              <w:rPr>
                <w:rFonts w:ascii="Times New Roman" w:cs="Times New Roman" w:eastAsia="Times New Roman" w:hAnsi="Times New Roman"/>
                <w:sz w:val="18"/>
                <w:szCs w:val="18"/>
                <w:color w:val="auto"/>
                <w:w w:val="96"/>
              </w:rPr>
              <w:t>EUR Senior Notes:</w:t>
            </w:r>
          </w:p>
        </w:tc>
        <w:tc>
          <w:tcPr>
            <w:tcW w:w="65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7180" w:type="dxa"/>
            <w:vAlign w:val="bottom"/>
            <w:gridSpan w:val="3"/>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EUR Senior Notes due 2025</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570.3</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r>
      <w:tr>
        <w:trPr>
          <w:trHeight w:val="226"/>
        </w:trPr>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718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2027</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580.2</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6"/>
        </w:trPr>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7180" w:type="dxa"/>
            <w:vAlign w:val="bottom"/>
            <w:gridSpan w:val="3"/>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EUR Senior Notes due 2031</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586.0</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173"/>
        </w:trPr>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68" w:lineRule="exact"/>
        <w:rPr>
          <w:sz w:val="20"/>
          <w:szCs w:val="20"/>
          <w:color w:val="auto"/>
        </w:rPr>
      </w:pPr>
    </w:p>
    <w:p>
      <w:pPr>
        <w:ind w:left="320" w:hanging="314"/>
        <w:spacing w:after="0" w:line="226"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values of the Capri Acquisition EUR Senior Notes include the impact of changes in the exchange rate of the United States Dollar against the Euro.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14"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The Company categorizes its assets and liabilities, based on the priority of the inputs to the valuation technique, into a three-level fair value hierarchy as set forth below. The three levels of the hierarchy are defined as follows: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112"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8"/>
          <w:szCs w:val="18"/>
          <w:color w:val="auto"/>
        </w:rPr>
        <w:t>Level 2 — Observable inputs other than quoted prices included in Level 1. Level 2 inputs include quoted prices for identical assets or liabilities in non-active markets, quoted prices for similar assets or liabilities in active markets and inputs other than quoted prices that are observable for substantially the full term of the asset or liability.</w:t>
      </w:r>
    </w:p>
    <w:p>
      <w:pPr>
        <w:spacing w:after="0" w:line="71" w:lineRule="exact"/>
        <w:rPr>
          <w:sz w:val="20"/>
          <w:szCs w:val="20"/>
          <w:color w:val="auto"/>
        </w:rPr>
      </w:pPr>
    </w:p>
    <w:p>
      <w:pPr>
        <w:jc w:val="both"/>
        <w:ind w:left="320"/>
        <w:spacing w:after="0" w:line="275" w:lineRule="auto"/>
        <w:rPr>
          <w:sz w:val="20"/>
          <w:szCs w:val="20"/>
          <w:color w:val="auto"/>
        </w:rPr>
      </w:pPr>
      <w:r>
        <w:rPr>
          <w:rFonts w:ascii="Times New Roman" w:cs="Times New Roman" w:eastAsia="Times New Roman" w:hAnsi="Times New Roman"/>
          <w:sz w:val="18"/>
          <w:szCs w:val="18"/>
          <w:color w:val="auto"/>
        </w:rPr>
        <w:t>Level 3 — Unobservable inputs reflecting management’s own assumptions about the input used in pricing the asset or liability. The Company does not have any Level 3 investments.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fair value measurements of the Company’s financial assets and liabilities at September 28, 2024 and June 29, 2024: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Borders>
              <w:bottom w:val="single" w:sz="8" w:color="auto"/>
            </w:tcBorders>
          </w:tcPr>
          <w:p>
            <w:pPr>
              <w:spacing w:after="0"/>
              <w:rPr>
                <w:sz w:val="20"/>
                <w:szCs w:val="20"/>
                <w:color w:val="auto"/>
              </w:rPr>
            </w:pPr>
          </w:p>
        </w:tc>
      </w:tr>
      <w:tr>
        <w:trPr>
          <w:trHeight w:val="166"/>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11"/>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400" w:type="dxa"/>
            <w:vAlign w:val="bottom"/>
          </w:tcPr>
          <w:p>
            <w:pPr>
              <w:spacing w:after="0"/>
              <w:rPr>
                <w:sz w:val="14"/>
                <w:szCs w:val="14"/>
                <w:color w:val="auto"/>
              </w:rPr>
            </w:pPr>
          </w:p>
        </w:tc>
        <w:tc>
          <w:tcPr>
            <w:tcW w:w="1120" w:type="dxa"/>
            <w:vAlign w:val="bottom"/>
          </w:tcPr>
          <w:p>
            <w:pPr>
              <w:jc w:val="right"/>
              <w:ind w:right="333"/>
              <w:spacing w:after="0" w:line="166" w:lineRule="exact"/>
              <w:rPr>
                <w:sz w:val="20"/>
                <w:szCs w:val="20"/>
                <w:color w:val="auto"/>
              </w:rPr>
            </w:pPr>
            <w:r>
              <w:rPr>
                <w:rFonts w:ascii="Times New Roman" w:cs="Times New Roman" w:eastAsia="Times New Roman" w:hAnsi="Times New Roman"/>
                <w:sz w:val="18"/>
                <w:szCs w:val="18"/>
                <w:color w:val="auto"/>
              </w:rPr>
              <w:t>June 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jc w:val="right"/>
              <w:ind w:right="531"/>
              <w:spacing w:after="0" w:line="166"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120" w:type="dxa"/>
            <w:vAlign w:val="bottom"/>
          </w:tcPr>
          <w:p>
            <w:pPr>
              <w:jc w:val="right"/>
              <w:ind w:right="331"/>
              <w:spacing w:after="0" w:line="166" w:lineRule="exact"/>
              <w:rPr>
                <w:sz w:val="20"/>
                <w:szCs w:val="20"/>
                <w:color w:val="auto"/>
              </w:rPr>
            </w:pPr>
            <w:r>
              <w:rPr>
                <w:rFonts w:ascii="Times New Roman" w:cs="Times New Roman" w:eastAsia="Times New Roman" w:hAnsi="Times New Roman"/>
                <w:sz w:val="18"/>
                <w:szCs w:val="18"/>
                <w:color w:val="auto"/>
              </w:rPr>
              <w:t>June 29,</w:t>
            </w:r>
          </w:p>
        </w:tc>
      </w:tr>
      <w:tr>
        <w:trPr>
          <w:trHeight w:val="236"/>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2024</w:t>
            </w: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right"/>
              <w:ind w:right="155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20" w:type="dxa"/>
            <w:vAlign w:val="bottom"/>
          </w:tcPr>
          <w:p>
            <w:pPr>
              <w:spacing w:after="0"/>
              <w:rPr>
                <w:sz w:val="16"/>
                <w:szCs w:val="16"/>
                <w:color w:val="auto"/>
              </w:rPr>
            </w:pPr>
          </w:p>
        </w:tc>
      </w:tr>
      <w:tr>
        <w:trPr>
          <w:trHeight w:val="232"/>
        </w:trPr>
        <w:tc>
          <w:tcPr>
            <w:tcW w:w="5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6"/>
        </w:trPr>
        <w:tc>
          <w:tcPr>
            <w:tcW w:w="5080" w:type="dxa"/>
            <w:vAlign w:val="bottom"/>
            <w:gridSpan w:val="5"/>
          </w:tcPr>
          <w:p>
            <w:pPr>
              <w:ind w:left="20"/>
              <w:spacing w:after="0" w:line="225"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703.6</w:t>
            </w:r>
          </w:p>
        </w:tc>
        <w:tc>
          <w:tcPr>
            <w:tcW w:w="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6"/>
        </w:trPr>
        <w:tc>
          <w:tcPr>
            <w:tcW w:w="20" w:type="dxa"/>
            <w:vAlign w:val="bottom"/>
            <w:shd w:val="clear" w:color="auto" w:fill="CCEEFF"/>
          </w:tcPr>
          <w:p>
            <w:pPr>
              <w:spacing w:after="0"/>
              <w:rPr>
                <w:sz w:val="17"/>
                <w:szCs w:val="17"/>
                <w:color w:val="auto"/>
              </w:rPr>
            </w:pPr>
          </w:p>
        </w:tc>
        <w:tc>
          <w:tcPr>
            <w:tcW w:w="506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(2)</w:t>
            </w:r>
          </w:p>
        </w:tc>
        <w:tc>
          <w:tcPr>
            <w:tcW w:w="34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0.6</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778.0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26"/>
        </w:trPr>
        <w:tc>
          <w:tcPr>
            <w:tcW w:w="20" w:type="dxa"/>
            <w:vAlign w:val="bottom"/>
          </w:tcPr>
          <w:p>
            <w:pPr>
              <w:spacing w:after="0"/>
              <w:rPr>
                <w:sz w:val="19"/>
                <w:szCs w:val="19"/>
                <w:color w:val="auto"/>
              </w:rPr>
            </w:pPr>
          </w:p>
        </w:tc>
        <w:tc>
          <w:tcPr>
            <w:tcW w:w="506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Corporate debt securities - U.S.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45.0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0" w:type="dxa"/>
            <w:vAlign w:val="bottom"/>
          </w:tcPr>
          <w:p>
            <w:pPr>
              <w:spacing w:after="0"/>
              <w:rPr>
                <w:sz w:val="19"/>
                <w:szCs w:val="19"/>
                <w:color w:val="auto"/>
              </w:rPr>
            </w:pPr>
          </w:p>
        </w:tc>
        <w:tc>
          <w:tcPr>
            <w:tcW w:w="50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18.7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6"/>
        </w:trPr>
        <w:tc>
          <w:tcPr>
            <w:tcW w:w="20" w:type="dxa"/>
            <w:vAlign w:val="bottom"/>
            <w:shd w:val="clear" w:color="auto" w:fill="CCEEFF"/>
          </w:tcPr>
          <w:p>
            <w:pPr>
              <w:spacing w:after="0"/>
              <w:rPr>
                <w:sz w:val="17"/>
                <w:szCs w:val="17"/>
                <w:color w:val="auto"/>
              </w:rPr>
            </w:pPr>
          </w:p>
        </w:tc>
        <w:tc>
          <w:tcPr>
            <w:tcW w:w="506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166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19"/>
                <w:szCs w:val="19"/>
                <w:color w:val="auto"/>
              </w:rPr>
            </w:pPr>
          </w:p>
        </w:tc>
        <w:tc>
          <w:tcPr>
            <w:tcW w:w="1740" w:type="dxa"/>
            <w:vAlign w:val="bottom"/>
            <w:tcBorders>
              <w:top w:val="single" w:sz="8" w:color="CCEEFF"/>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1.3</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6"/>
        </w:trPr>
        <w:tc>
          <w:tcPr>
            <w:tcW w:w="20" w:type="dxa"/>
            <w:vAlign w:val="bottom"/>
            <w:shd w:val="clear" w:color="auto" w:fill="CCEEFF"/>
          </w:tcPr>
          <w:p>
            <w:pPr>
              <w:spacing w:after="0"/>
              <w:rPr>
                <w:sz w:val="16"/>
                <w:szCs w:val="16"/>
                <w:color w:val="auto"/>
              </w:rPr>
            </w:pPr>
          </w:p>
        </w:tc>
        <w:tc>
          <w:tcPr>
            <w:tcW w:w="5060" w:type="dxa"/>
            <w:vAlign w:val="bottom"/>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Derivative assets:</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226"/>
        </w:trPr>
        <w:tc>
          <w:tcPr>
            <w:tcW w:w="20" w:type="dxa"/>
            <w:vAlign w:val="bottom"/>
          </w:tcPr>
          <w:p>
            <w:pPr>
              <w:spacing w:after="0"/>
              <w:rPr>
                <w:sz w:val="19"/>
                <w:szCs w:val="19"/>
                <w:color w:val="auto"/>
              </w:rPr>
            </w:pPr>
          </w:p>
        </w:tc>
        <w:tc>
          <w:tcPr>
            <w:tcW w:w="506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14.2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16.4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6"/>
        </w:trPr>
        <w:tc>
          <w:tcPr>
            <w:tcW w:w="20" w:type="dxa"/>
            <w:vAlign w:val="bottom"/>
          </w:tcPr>
          <w:p>
            <w:pPr>
              <w:spacing w:after="0"/>
              <w:rPr>
                <w:sz w:val="19"/>
                <w:szCs w:val="19"/>
                <w:color w:val="auto"/>
              </w:rPr>
            </w:pPr>
          </w:p>
        </w:tc>
        <w:tc>
          <w:tcPr>
            <w:tcW w:w="506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50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506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060" w:type="dxa"/>
            <w:vAlign w:val="bottom"/>
            <w:gridSpan w:val="4"/>
            <w:shd w:val="clear" w:color="auto" w:fill="CCEEFF"/>
          </w:tcPr>
          <w:p>
            <w:pPr>
              <w:ind w:left="200"/>
              <w:spacing w:after="0" w:line="235" w:lineRule="exact"/>
              <w:rPr>
                <w:sz w:val="20"/>
                <w:szCs w:val="20"/>
                <w:color w:val="auto"/>
              </w:rPr>
            </w:pPr>
            <w:r>
              <w:rPr>
                <w:rFonts w:ascii="Times New Roman" w:cs="Times New Roman" w:eastAsia="Times New Roman" w:hAnsi="Times New Roman"/>
                <w:sz w:val="18"/>
                <w:szCs w:val="18"/>
                <w:color w:val="auto"/>
              </w:rPr>
              <w:t>Inventory-related instruments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20" w:type="dxa"/>
            <w:vAlign w:val="bottom"/>
          </w:tcPr>
          <w:p>
            <w:pPr>
              <w:spacing w:after="0"/>
              <w:rPr>
                <w:sz w:val="19"/>
                <w:szCs w:val="19"/>
                <w:color w:val="auto"/>
              </w:rPr>
            </w:pPr>
          </w:p>
        </w:tc>
        <w:tc>
          <w:tcPr>
            <w:tcW w:w="5060" w:type="dxa"/>
            <w:vAlign w:val="bottom"/>
            <w:gridSpan w:val="4"/>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investment hedges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26"/>
        </w:trPr>
        <w:tc>
          <w:tcPr>
            <w:tcW w:w="20" w:type="dxa"/>
            <w:vAlign w:val="bottom"/>
            <w:shd w:val="clear" w:color="auto" w:fill="CCEEFF"/>
          </w:tcPr>
          <w:p>
            <w:pPr>
              <w:spacing w:after="0"/>
              <w:rPr>
                <w:sz w:val="19"/>
                <w:szCs w:val="19"/>
                <w:color w:val="auto"/>
              </w:rPr>
            </w:pPr>
          </w:p>
        </w:tc>
        <w:tc>
          <w:tcPr>
            <w:tcW w:w="5060" w:type="dxa"/>
            <w:vAlign w:val="bottom"/>
            <w:gridSpan w:val="4"/>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Intercompany loans and payables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177165</wp:posOffset>
            </wp:positionV>
            <wp:extent cx="1383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20" w:hanging="314"/>
        <w:spacing w:after="0" w:line="226"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equivalents generally consists of money market funds and time deposits with maturities of three months or less at the date of purchase. Due to their short-term maturity, management believes that their carrying value approximates fair value.</w:t>
      </w:r>
    </w:p>
    <w:p>
      <w:pPr>
        <w:spacing w:after="0" w:line="87"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are recorded at fair value, which approximates their carrying value, and are primarily based upon quoted vendor or broker priced securities in active markets.</w:t>
      </w:r>
    </w:p>
    <w:p>
      <w:pPr>
        <w:spacing w:after="0" w:line="87" w:lineRule="exact"/>
        <w:rPr>
          <w:rFonts w:ascii="Times New Roman" w:cs="Times New Roman" w:eastAsia="Times New Roman" w:hAnsi="Times New Roman"/>
          <w:sz w:val="23"/>
          <w:szCs w:val="23"/>
          <w:color w:val="auto"/>
          <w:vertAlign w:val="superscript"/>
        </w:rPr>
      </w:pPr>
    </w:p>
    <w:p>
      <w:pPr>
        <w:ind w:left="320" w:hanging="314"/>
        <w:spacing w:after="0" w:line="226"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 of these hedges is primarily based on the forward curves of the specific indices upon which settlement is based and includes an adjustment for the counterparty’s or Company’s credit risk.</w:t>
      </w:r>
    </w:p>
    <w:p>
      <w:pPr>
        <w:spacing w:after="0" w:line="87"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the fair value of the Company's outstanding debt instruments.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Non-Financial Assets and Liabilities</w:t>
      </w:r>
    </w:p>
    <w:p>
      <w:pPr>
        <w:spacing w:after="0" w:line="1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non-financial instruments, which primarily consist of goodwill, intangible assets, right-of-use assets and property and equipment, are not required to be measured at fair value on a recurring basis and are reported at carrying value. However, on a periodic basis whenever events or changes in circumstances indicate that their carrying value may not be fully recoverable (and at least annually for goodwill and indefinite-lived intangible assets), non-financial instruments are assessed for impairment and, if applicable, written-down to and recorded at fair value, considering market participant assumptions. There were no impairment charges recorded during the three months ended September 28, 2024 or three months ended September 30, 2023.</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13. INVESTMENTS</w:t>
      </w:r>
    </w:p>
    <w:p>
      <w:pPr>
        <w:spacing w:after="0" w:line="114"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Company’s U.S. dollar-denominated investments, recorded within the Company's Condensed Consolidated Balance Sheets as of September 28, 2024 and June 29, 2024:</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June 29, 2024</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r>
      <w:tr>
        <w:trPr>
          <w:trHeight w:val="219"/>
        </w:trPr>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40"/>
              <w:spacing w:after="0" w:line="219" w:lineRule="exact"/>
              <w:rPr>
                <w:sz w:val="20"/>
                <w:szCs w:val="20"/>
                <w:color w:val="auto"/>
              </w:rPr>
            </w:pPr>
            <w:r>
              <w:rPr>
                <w:rFonts w:ascii="Times New Roman" w:cs="Times New Roman" w:eastAsia="Times New Roman" w:hAnsi="Times New Roman"/>
                <w:sz w:val="18"/>
                <w:szCs w:val="18"/>
                <w:b w:val="1"/>
                <w:bCs w:val="1"/>
                <w:color w:val="auto"/>
              </w:rPr>
              <w:t>Long-term</w:t>
            </w:r>
            <w:r>
              <w:rPr>
                <w:rFonts w:ascii="Times New Roman" w:cs="Times New Roman" w:eastAsia="Times New Roman" w:hAnsi="Times New Roman"/>
                <w:sz w:val="23"/>
                <w:szCs w:val="23"/>
                <w:b w:val="1"/>
                <w:bCs w:val="1"/>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40"/>
              <w:spacing w:after="0" w:line="219" w:lineRule="exact"/>
              <w:rPr>
                <w:sz w:val="20"/>
                <w:szCs w:val="20"/>
                <w:color w:val="auto"/>
              </w:rPr>
            </w:pPr>
            <w:r>
              <w:rPr>
                <w:rFonts w:ascii="Times New Roman" w:cs="Times New Roman" w:eastAsia="Times New Roman" w:hAnsi="Times New Roman"/>
                <w:sz w:val="18"/>
                <w:szCs w:val="18"/>
                <w:color w:val="auto"/>
              </w:rPr>
              <w:t>Long-term</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Total</w:t>
            </w:r>
          </w:p>
        </w:tc>
      </w:tr>
      <w:tr>
        <w:trPr>
          <w:trHeight w:val="186"/>
        </w:trPr>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2"/>
        </w:trPr>
        <w:tc>
          <w:tcPr>
            <w:tcW w:w="80" w:type="dxa"/>
            <w:vAlign w:val="bottom"/>
          </w:tcPr>
          <w:p>
            <w:pPr>
              <w:spacing w:after="0"/>
              <w:rPr>
                <w:sz w:val="20"/>
                <w:szCs w:val="20"/>
                <w:color w:val="auto"/>
              </w:rPr>
            </w:pP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investments: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0" w:type="dxa"/>
            <w:vAlign w:val="bottom"/>
          </w:tcPr>
          <w:p>
            <w:pPr>
              <w:spacing w:after="0"/>
              <w:rPr>
                <w:sz w:val="19"/>
                <w:szCs w:val="19"/>
                <w:color w:val="auto"/>
              </w:rPr>
            </w:pPr>
          </w:p>
        </w:tc>
        <w:tc>
          <w:tcPr>
            <w:tcW w:w="36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26"/>
        </w:trPr>
        <w:tc>
          <w:tcPr>
            <w:tcW w:w="80" w:type="dxa"/>
            <w:vAlign w:val="bottom"/>
          </w:tcPr>
          <w:p>
            <w:pPr>
              <w:spacing w:after="0"/>
              <w:rPr>
                <w:sz w:val="19"/>
                <w:szCs w:val="19"/>
                <w:color w:val="auto"/>
              </w:rPr>
            </w:pPr>
          </w:p>
        </w:tc>
        <w:tc>
          <w:tcPr>
            <w:tcW w:w="36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Government securities - U.S.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26"/>
        </w:trPr>
        <w:tc>
          <w:tcPr>
            <w:tcW w:w="80" w:type="dxa"/>
            <w:vAlign w:val="bottom"/>
          </w:tcPr>
          <w:p>
            <w:pPr>
              <w:spacing w:after="0"/>
              <w:rPr>
                <w:sz w:val="19"/>
                <w:szCs w:val="19"/>
                <w:color w:val="auto"/>
              </w:rPr>
            </w:pPr>
          </w:p>
        </w:tc>
        <w:tc>
          <w:tcPr>
            <w:tcW w:w="36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Corporate debt securities - U.S.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0" w:type="dxa"/>
            <w:vAlign w:val="bottom"/>
          </w:tcPr>
          <w:p>
            <w:pPr>
              <w:spacing w:after="0"/>
              <w:rPr>
                <w:sz w:val="19"/>
                <w:szCs w:val="19"/>
                <w:color w:val="auto"/>
              </w:rPr>
            </w:pPr>
          </w:p>
        </w:tc>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19"/>
        </w:trPr>
        <w:tc>
          <w:tcPr>
            <w:tcW w:w="80" w:type="dxa"/>
            <w:vAlign w:val="bottom"/>
          </w:tcPr>
          <w:p>
            <w:pPr>
              <w:spacing w:after="0"/>
              <w:rPr>
                <w:sz w:val="19"/>
                <w:szCs w:val="19"/>
                <w:color w:val="auto"/>
              </w:rPr>
            </w:pP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36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Time deposits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6"/>
        </w:trPr>
        <w:tc>
          <w:tcPr>
            <w:tcW w:w="80" w:type="dxa"/>
            <w:vAlign w:val="bottom"/>
          </w:tcPr>
          <w:p>
            <w:pPr>
              <w:spacing w:after="0"/>
              <w:rPr>
                <w:sz w:val="19"/>
                <w:szCs w:val="19"/>
                <w:color w:val="auto"/>
              </w:rPr>
            </w:pPr>
          </w:p>
        </w:tc>
        <w:tc>
          <w:tcPr>
            <w:tcW w:w="36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4"/>
        </w:trPr>
        <w:tc>
          <w:tcPr>
            <w:tcW w:w="80" w:type="dxa"/>
            <w:vAlign w:val="bottom"/>
          </w:tcPr>
          <w:p>
            <w:pPr>
              <w:spacing w:after="0"/>
              <w:rPr>
                <w:sz w:val="20"/>
                <w:szCs w:val="20"/>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0"/>
        </w:trPr>
        <w:tc>
          <w:tcPr>
            <w:tcW w:w="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135"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as of period end, have maturity dates during their respective fiscal years and are recorded at fair value.</w:t>
      </w:r>
    </w:p>
    <w:p>
      <w:pPr>
        <w:spacing w:after="0" w:line="80" w:lineRule="exact"/>
        <w:rPr>
          <w:rFonts w:ascii="Times New Roman" w:cs="Times New Roman" w:eastAsia="Times New Roman" w:hAnsi="Times New Roman"/>
          <w:sz w:val="23"/>
          <w:szCs w:val="23"/>
          <w:color w:val="auto"/>
          <w:vertAlign w:val="superscript"/>
        </w:rPr>
      </w:pPr>
    </w:p>
    <w:p>
      <w:pPr>
        <w:ind w:left="320" w:hanging="314"/>
        <w:spacing w:after="0" w:line="216" w:lineRule="auto"/>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investments are presented within Other assets on the Condensed Consolidated Balance Sheets.</w:t>
      </w:r>
    </w:p>
    <w:p>
      <w:pPr>
        <w:spacing w:after="0" w:line="87"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recognized a pre-tax gain of $0.5 million on available-for-sale investments during the three months ended September 28, 2024. This gain is included within Other expense (income) on the Condensed Consolidated Statements of Operations. Additionally, the company has unrealized gains of $2.2 million on available-for-sale investments as of September 28, 2024 included within Comprehensive income (loss) on the Condensed Consolidated Statements of Comprehensive Income (Loss).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gross realized and unrealized gains or losses on available-for-sale investments for the period ended June 29, 2024.</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Capri Holdings Limited Merger Agreement</w:t>
      </w:r>
    </w:p>
    <w:p>
      <w:pPr>
        <w:spacing w:after="0" w:line="116"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On August 10, 2023, the Company entered into a Merger Agreement. Refer to Note 5, "Acquisitions" and Note 16, "Subsequent Events" for further information.</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 had standby letters of credit, surety bonds and bank guarantees totaling $28.4 million and $28.4 million outstanding at September 28, 2024 and June 29, 2024, respectively. The agreements, which expire at various dates through calendar 2039, primarily collateralize the Company's obligation to third parties for duty, leases, insurance claims and materials used in product manufacturing. The Company pays certain fees with respect to these instruments that are issued.</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other contractual cash obligations as of September 28, 2024 related to debt repayments. Refer to Note 11, "Debt," for further information.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including proceedings to protect Tapestry's intellectual property rights, litigation instituted by persons alleged to have been injured by advertising claims or upon premises within the Company’s control, contractual disputes, insurance claims and litigation with present or former employees.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w:t>
      </w:r>
    </w:p>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10" w:lineRule="exact"/>
        <w:rPr>
          <w:sz w:val="20"/>
          <w:szCs w:val="20"/>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w:t>
      </w:r>
      <w:r>
        <w:rPr>
          <w:rFonts w:ascii="Times New Roman" w:cs="Times New Roman" w:eastAsia="Times New Roman" w:hAnsi="Times New Roman"/>
          <w:sz w:val="18"/>
          <w:szCs w:val="18"/>
          <w:color w:val="auto"/>
        </w:rPr>
        <w:t>- Includes global sales primarily of Coach brand products to customers through our DTC, wholesale and licensing businesses.</w:t>
      </w:r>
    </w:p>
    <w:p>
      <w:pPr>
        <w:spacing w:after="0" w:line="111" w:lineRule="exact"/>
        <w:rPr>
          <w:rFonts w:ascii="Times New Roman" w:cs="Times New Roman" w:eastAsia="Times New Roman" w:hAnsi="Times New Roman"/>
          <w:sz w:val="18"/>
          <w:szCs w:val="18"/>
          <w:color w:val="auto"/>
        </w:rPr>
      </w:pPr>
    </w:p>
    <w:p>
      <w:pPr>
        <w:ind w:left="640" w:hanging="315"/>
        <w:spacing w:after="0" w:line="27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deciding how to allocate resources and assess performance, the Company's chief operating decision maker regularly evaluates operating profit of these segments. Segment operating profit is the gross profit of the segment less direct expenses of the segment. Total expenditures for additions to long-lived assets are not disclosed as this information is not regularly provided to the chief operating decision maker at the segment level.</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addition to these reportable segments, the Company has certain corporate expenses that are not directly attributable to its brands ("Corporate expenses"); therefore, they are not allocated to its segments. Such costs primarily include certain overhead expenses related to corporate functions as well as certain administration, corporate occupancy, information technology, and depreciation costs.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net sales of each of the company's segments for the three months ended September 28, 2024 and September 30,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09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9"/>
        </w:trPr>
        <w:tc>
          <w:tcPr>
            <w:tcW w:w="7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180" w:type="dxa"/>
            <w:vAlign w:val="bottom"/>
          </w:tcPr>
          <w:p>
            <w:pPr>
              <w:spacing w:after="0"/>
              <w:rPr>
                <w:sz w:val="19"/>
                <w:szCs w:val="19"/>
                <w:color w:val="auto"/>
              </w:rPr>
            </w:pPr>
          </w:p>
        </w:tc>
        <w:tc>
          <w:tcPr>
            <w:tcW w:w="17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6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26"/>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26"/>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26"/>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44"/>
        </w:trPr>
        <w:tc>
          <w:tcPr>
            <w:tcW w:w="7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segment operating profit of each of the company's segments and reconciliation to Income (loss) before provision for income taxes for the three months ended September 28, 2024 and September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00" w:type="dxa"/>
            <w:vAlign w:val="bottom"/>
          </w:tcPr>
          <w:p>
            <w:pPr>
              <w:spacing w:after="0"/>
              <w:rPr>
                <w:sz w:val="19"/>
                <w:szCs w:val="19"/>
                <w:color w:val="auto"/>
              </w:rPr>
            </w:pPr>
          </w:p>
        </w:tc>
        <w:tc>
          <w:tcPr>
            <w:tcW w:w="17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September 30, 2023</w:t>
            </w:r>
          </w:p>
        </w:tc>
        <w:tc>
          <w:tcPr>
            <w:tcW w:w="0" w:type="dxa"/>
            <w:vAlign w:val="bottom"/>
          </w:tcPr>
          <w:p>
            <w:pPr>
              <w:spacing w:after="0"/>
              <w:rPr>
                <w:sz w:val="1"/>
                <w:szCs w:val="1"/>
                <w:color w:val="auto"/>
              </w:rPr>
            </w:pPr>
          </w:p>
        </w:tc>
      </w:tr>
      <w:tr>
        <w:trPr>
          <w:trHeight w:val="21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26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2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2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operating profit:</w:t>
            </w:r>
          </w:p>
        </w:tc>
        <w:tc>
          <w:tcPr>
            <w:tcW w:w="2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140"/>
              <w:spacing w:after="0" w:line="239" w:lineRule="exact"/>
              <w:rPr>
                <w:sz w:val="20"/>
                <w:szCs w:val="20"/>
                <w:color w:val="auto"/>
              </w:rPr>
            </w:pPr>
            <w:r>
              <w:rPr>
                <w:rFonts w:ascii="Times New Roman" w:cs="Times New Roman" w:eastAsia="Times New Roman" w:hAnsi="Times New Roman"/>
                <w:sz w:val="18"/>
                <w:szCs w:val="18"/>
                <w:color w:val="auto"/>
              </w:rPr>
              <w:t>Corporate expenses</w:t>
            </w:r>
            <w:r>
              <w:rPr>
                <w:rFonts w:ascii="Times New Roman" w:cs="Times New Roman" w:eastAsia="Times New Roman" w:hAnsi="Times New Roman"/>
                <w:sz w:val="23"/>
                <w:szCs w:val="23"/>
                <w:color w:val="auto"/>
                <w:vertAlign w:val="superscript"/>
              </w:rPr>
              <w:t>(1)</w:t>
            </w:r>
          </w:p>
        </w:tc>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154.2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6"/>
        </w:trPr>
        <w:tc>
          <w:tcPr>
            <w:tcW w:w="46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Unallocated other charges, net</w:t>
            </w:r>
            <w:r>
              <w:rPr>
                <w:rFonts w:ascii="Times New Roman" w:cs="Times New Roman" w:eastAsia="Times New Roman" w:hAnsi="Times New Roman"/>
                <w:sz w:val="23"/>
                <w:szCs w:val="23"/>
                <w:color w:val="auto"/>
                <w:vertAlign w:val="superscript"/>
              </w:rPr>
              <w:t>(2)</w:t>
            </w:r>
          </w:p>
        </w:tc>
        <w:tc>
          <w:tcPr>
            <w:tcW w:w="26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9"/>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0" w:type="dxa"/>
            <w:vAlign w:val="bottom"/>
            <w:vMerge w:val="restart"/>
          </w:tcPr>
          <w:p>
            <w:pPr>
              <w:jc w:val="right"/>
              <w:ind w:right="143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4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640" w:type="dxa"/>
            <w:vAlign w:val="bottom"/>
            <w:tcBorders>
              <w:bottom w:val="single" w:sz="8" w:color="9A9A9A"/>
            </w:tcBorders>
          </w:tcPr>
          <w:p>
            <w:pPr>
              <w:spacing w:after="0"/>
              <w:rPr>
                <w:sz w:val="9"/>
                <w:szCs w:val="9"/>
                <w:color w:val="auto"/>
              </w:rPr>
            </w:pPr>
          </w:p>
        </w:tc>
        <w:tc>
          <w:tcPr>
            <w:tcW w:w="2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of each of the company's segments for the three months ended September 28, 2024 and September 30,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1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4"/>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9"/>
        </w:trPr>
        <w:tc>
          <w:tcPr>
            <w:tcW w:w="218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00" w:type="dxa"/>
            <w:vAlign w:val="bottom"/>
          </w:tcPr>
          <w:p>
            <w:pPr>
              <w:spacing w:after="0"/>
              <w:rPr>
                <w:sz w:val="19"/>
                <w:szCs w:val="19"/>
                <w:color w:val="auto"/>
              </w:rPr>
            </w:pPr>
          </w:p>
        </w:tc>
        <w:tc>
          <w:tcPr>
            <w:tcW w:w="17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19"/>
        </w:trPr>
        <w:tc>
          <w:tcPr>
            <w:tcW w:w="7240" w:type="dxa"/>
            <w:vAlign w:val="bottom"/>
            <w:tcBorders>
              <w:top w:val="single" w:sz="8" w:color="CCEEFF"/>
            </w:tcBorders>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Depreciation and amortization expense</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2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Coach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6"/>
        </w:trPr>
        <w:tc>
          <w:tcPr>
            <w:tcW w:w="7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Kate Spade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6"/>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Stuart Weitzman</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7240" w:type="dxa"/>
            <w:vAlign w:val="bottom"/>
            <w:gridSpan w:val="2"/>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9"/>
        </w:trPr>
        <w:tc>
          <w:tcPr>
            <w:tcW w:w="7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0"/>
        </w:trPr>
        <w:tc>
          <w:tcPr>
            <w:tcW w:w="21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45"/>
        </w:trPr>
        <w:tc>
          <w:tcPr>
            <w:tcW w:w="2180" w:type="dxa"/>
            <w:vAlign w:val="bottom"/>
            <w:tcBorders>
              <w:bottom w:val="single" w:sz="8" w:color="auto"/>
            </w:tcBorders>
          </w:tcPr>
          <w:p>
            <w:pPr>
              <w:spacing w:after="0"/>
              <w:rPr>
                <w:sz w:val="21"/>
                <w:szCs w:val="21"/>
                <w:color w:val="auto"/>
              </w:rPr>
            </w:pPr>
          </w:p>
        </w:tc>
        <w:tc>
          <w:tcPr>
            <w:tcW w:w="5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spacing w:after="0" w:line="135" w:lineRule="exact"/>
        <w:rPr>
          <w:sz w:val="20"/>
          <w:szCs w:val="20"/>
          <w:color w:val="auto"/>
        </w:rPr>
      </w:pPr>
    </w:p>
    <w:p>
      <w:pPr>
        <w:ind w:left="260" w:hanging="254"/>
        <w:spacing w:after="0"/>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is not a reportable segment, represents certain expenses that are not directly attributable to its brands.</w:t>
      </w:r>
    </w:p>
    <w:p>
      <w:pPr>
        <w:spacing w:after="0" w:line="80" w:lineRule="exact"/>
        <w:rPr>
          <w:rFonts w:ascii="Times New Roman" w:cs="Times New Roman" w:eastAsia="Times New Roman" w:hAnsi="Times New Roman"/>
          <w:sz w:val="23"/>
          <w:szCs w:val="23"/>
          <w:color w:val="auto"/>
          <w:vertAlign w:val="superscript"/>
        </w:rPr>
      </w:pPr>
    </w:p>
    <w:p>
      <w:pPr>
        <w:ind w:left="260" w:hanging="254"/>
        <w:spacing w:after="0" w:line="216" w:lineRule="auto"/>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expense, net and Other expense (income).</w:t>
      </w:r>
    </w:p>
    <w:p>
      <w:pPr>
        <w:spacing w:after="0" w:line="80" w:lineRule="exact"/>
        <w:rPr>
          <w:rFonts w:ascii="Times New Roman" w:cs="Times New Roman" w:eastAsia="Times New Roman" w:hAnsi="Times New Roman"/>
          <w:sz w:val="23"/>
          <w:szCs w:val="23"/>
          <w:color w:val="auto"/>
          <w:vertAlign w:val="superscript"/>
        </w:rPr>
      </w:pPr>
    </w:p>
    <w:p>
      <w:pPr>
        <w:ind w:left="260" w:hanging="254"/>
        <w:spacing w:after="0" w:line="216" w:lineRule="auto"/>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expense for the segments includes an allocation of expense related to assets which support multiple segments.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TAPESTRY,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previously disclosed, on August 10, 2023, Tapestry, Capri and Merger Sub, entered into the Merger Agreement, dated August 10, 2023, pursuant to which, among other things, Merger Sub will merge with and into Capri (the “Merger”), with Capri surviving the Merger and continuing as a wholly owned subsidiary of Tapestry.</w:t>
      </w:r>
    </w:p>
    <w:p>
      <w:pPr>
        <w:spacing w:after="0" w:line="71"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Company has received regulatory approval from all applicable jurisdictions except for the United States. On April 22, 2024, the FTC filed a complaint against the Company and Capri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The trial commenced on September 9, 2024, and on October 24, 2024, the Court issued its Opinion and Order granting the FTC's request for a preliminary injunction of the Merger, pending an administrative trial on the merits which is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Refer to Note 5, "Acquisitions," for further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ind w:left="1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following discussion of the Company's financial condition and results of operations should be read together with the Company's condensed consolidated financial statements and notes to those financial statements included elsewhere in this document. When used herein, the terms "the Company," "Tapestry," "we," "us" and "our" refer to Tapestry, Inc., including consolidated subsidiaries. References to "Coach," "Stuart Weitzman," "Kate Spade" or "kate spade new york" refer only to the referenced brand.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consolidated financial statements and notes thereto to help provide an understanding of our results of operations, financial condition, and liquidity. MD&amp;A is organized as follows:</w:t>
      </w:r>
    </w:p>
    <w:p>
      <w:pPr>
        <w:spacing w:after="0" w:line="69" w:lineRule="exact"/>
        <w:rPr>
          <w:sz w:val="20"/>
          <w:szCs w:val="20"/>
          <w:color w:val="auto"/>
        </w:rPr>
      </w:pPr>
    </w:p>
    <w:p>
      <w:pPr>
        <w:ind w:left="560" w:hanging="235"/>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the business and brands as well as the Company’s growth strategy.</w:t>
      </w:r>
    </w:p>
    <w:p>
      <w:pPr>
        <w:spacing w:after="0" w:line="111" w:lineRule="exact"/>
        <w:rPr>
          <w:rFonts w:ascii="Times New Roman" w:cs="Times New Roman" w:eastAsia="Times New Roman" w:hAnsi="Times New Roman"/>
          <w:sz w:val="18"/>
          <w:szCs w:val="18"/>
          <w:color w:val="auto"/>
        </w:rPr>
      </w:pPr>
    </w:p>
    <w:p>
      <w:pPr>
        <w:ind w:left="560" w:right="120" w:hanging="235"/>
        <w:spacing w:after="0" w:line="277"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Economic Conditions and Industry Trends. </w:t>
      </w:r>
      <w:r>
        <w:rPr>
          <w:rFonts w:ascii="Times New Roman" w:cs="Times New Roman" w:eastAsia="Times New Roman" w:hAnsi="Times New Roman"/>
          <w:sz w:val="18"/>
          <w:szCs w:val="18"/>
          <w:color w:val="auto"/>
        </w:rPr>
        <w:t>This section includes a discussion on global economic conditions and industry trends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that are important in understanding results of operations and financial conditions, and in anticipating future trends.</w:t>
      </w:r>
    </w:p>
    <w:p>
      <w:pPr>
        <w:spacing w:after="0" w:line="53" w:lineRule="exact"/>
        <w:rPr>
          <w:rFonts w:ascii="Times New Roman" w:cs="Times New Roman" w:eastAsia="Times New Roman" w:hAnsi="Times New Roman"/>
          <w:sz w:val="18"/>
          <w:szCs w:val="18"/>
          <w:color w:val="auto"/>
        </w:rPr>
      </w:pPr>
    </w:p>
    <w:p>
      <w:pPr>
        <w:ind w:left="560" w:hanging="235"/>
        <w:spacing w:after="0"/>
        <w:tabs>
          <w:tab w:leader="none" w:pos="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 analysis of our results of operations in the first quarter of fiscal 2025 compared to the first quarter of fiscal 2024.</w:t>
      </w:r>
    </w:p>
    <w:p>
      <w:pPr>
        <w:spacing w:after="0" w:line="111" w:lineRule="exact"/>
        <w:rPr>
          <w:rFonts w:ascii="Times New Roman" w:cs="Times New Roman" w:eastAsia="Times New Roman" w:hAnsi="Times New Roman"/>
          <w:sz w:val="18"/>
          <w:szCs w:val="18"/>
          <w:color w:val="auto"/>
        </w:rPr>
      </w:pPr>
    </w:p>
    <w:p>
      <w:pPr>
        <w:jc w:val="both"/>
        <w:ind w:left="560" w:right="120" w:hanging="235"/>
        <w:spacing w:after="0" w:line="261"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Non-GAAP Measures. </w:t>
      </w:r>
      <w:r>
        <w:rPr>
          <w:rFonts w:ascii="Times New Roman" w:cs="Times New Roman" w:eastAsia="Times New Roman" w:hAnsi="Times New Roman"/>
          <w:sz w:val="18"/>
          <w:szCs w:val="18"/>
          <w:color w:val="auto"/>
        </w:rPr>
        <w:t>This section includes non-GAAP measures that are useful to investors and others in evaluating the Company’s ongoing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and financial results in a manner that is consistent with management's evaluation of business performance and understanding how such results compare with the Company’s historical performance.</w:t>
      </w:r>
    </w:p>
    <w:p>
      <w:pPr>
        <w:spacing w:after="0" w:line="68" w:lineRule="exact"/>
        <w:rPr>
          <w:rFonts w:ascii="Times New Roman" w:cs="Times New Roman" w:eastAsia="Times New Roman" w:hAnsi="Times New Roman"/>
          <w:sz w:val="18"/>
          <w:szCs w:val="18"/>
          <w:color w:val="auto"/>
        </w:rPr>
      </w:pPr>
    </w:p>
    <w:p>
      <w:pPr>
        <w:ind w:left="560" w:right="120" w:hanging="235"/>
        <w:spacing w:after="0" w:line="277"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color w:val="auto"/>
        </w:rPr>
        <w:t>This section includes a discussion on liquidity and capital resources including an analysis of changes in cash flow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capital expenditures.</w:t>
      </w:r>
    </w:p>
    <w:p>
      <w:pPr>
        <w:spacing w:after="0" w:line="53" w:lineRule="exact"/>
        <w:rPr>
          <w:rFonts w:ascii="Times New Roman" w:cs="Times New Roman" w:eastAsia="Times New Roman" w:hAnsi="Times New Roman"/>
          <w:sz w:val="18"/>
          <w:szCs w:val="18"/>
          <w:color w:val="auto"/>
        </w:rPr>
      </w:pPr>
    </w:p>
    <w:p>
      <w:pPr>
        <w:ind w:left="560" w:right="120" w:hanging="235"/>
        <w:spacing w:after="0" w:line="277" w:lineRule="auto"/>
        <w:tabs>
          <w:tab w:leader="none" w:pos="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Policies and Estimates. </w:t>
      </w:r>
      <w:r>
        <w:rPr>
          <w:rFonts w:ascii="Times New Roman" w:cs="Times New Roman" w:eastAsia="Times New Roman" w:hAnsi="Times New Roman"/>
          <w:sz w:val="18"/>
          <w:szCs w:val="18"/>
          <w:color w:val="auto"/>
        </w:rPr>
        <w:t>This section includes any material changes or updates to critical accounting policies or estimates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Annual Report on Form 10-K for fiscal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Tapestry, Inc. is a house of iconic accessories and lifestyle brands. Our global house of brands unites the magic of Coach, kate spade new york and Stuart Weitzman. Each of our brands are unique and independent, while sharing a commitment to innovation and authenticity defined by distinctive products and differentiated customer experiences across business channels and geographies. We use our collective strengths to move our customers and empower our communities, to make the fashion industry more sustainable and to build a company that’s equitable, inclusive and diverse. Individually, our brands are iconic. Together, we can stretch what’s possible.</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reportable segments:</w:t>
      </w:r>
    </w:p>
    <w:p>
      <w:pPr>
        <w:spacing w:after="0" w:line="110" w:lineRule="exact"/>
        <w:rPr>
          <w:sz w:val="20"/>
          <w:szCs w:val="20"/>
          <w:color w:val="auto"/>
        </w:rPr>
      </w:pPr>
    </w:p>
    <w:p>
      <w:pPr>
        <w:ind w:left="560" w:hanging="235"/>
        <w:spacing w:after="0" w:line="277"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Coach - </w:t>
      </w:r>
      <w:r>
        <w:rPr>
          <w:rFonts w:ascii="Times New Roman" w:cs="Times New Roman" w:eastAsia="Times New Roman" w:hAnsi="Times New Roman"/>
          <w:sz w:val="18"/>
          <w:szCs w:val="18"/>
          <w:color w:val="auto"/>
        </w:rPr>
        <w:t>Includes global sales of primarily Coach brand products to customers through our direct-to-consumer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3" w:lineRule="exact"/>
        <w:rPr>
          <w:rFonts w:ascii="Times New Roman" w:cs="Times New Roman" w:eastAsia="Times New Roman" w:hAnsi="Times New Roman"/>
          <w:sz w:val="18"/>
          <w:szCs w:val="18"/>
          <w:color w:val="auto"/>
        </w:rPr>
      </w:pPr>
    </w:p>
    <w:p>
      <w:pPr>
        <w:ind w:left="560" w:hanging="235"/>
        <w:spacing w:after="0" w:line="277"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Kate Spade </w:t>
      </w:r>
      <w:r>
        <w:rPr>
          <w:rFonts w:ascii="Times New Roman" w:cs="Times New Roman" w:eastAsia="Times New Roman" w:hAnsi="Times New Roman"/>
          <w:sz w:val="18"/>
          <w:szCs w:val="18"/>
          <w:color w:val="auto"/>
        </w:rPr>
        <w:t>- Includes global sales primarily of kate spade new york brand products to customers through our DTC, wholesale and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w:t>
      </w:r>
    </w:p>
    <w:p>
      <w:pPr>
        <w:spacing w:after="0" w:line="53" w:lineRule="exact"/>
        <w:rPr>
          <w:rFonts w:ascii="Times New Roman" w:cs="Times New Roman" w:eastAsia="Times New Roman" w:hAnsi="Times New Roman"/>
          <w:sz w:val="18"/>
          <w:szCs w:val="18"/>
          <w:color w:val="auto"/>
        </w:rPr>
      </w:pPr>
    </w:p>
    <w:p>
      <w:pPr>
        <w:ind w:left="560" w:hanging="235"/>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Stuart Weitzman - </w:t>
      </w:r>
      <w:r>
        <w:rPr>
          <w:rFonts w:ascii="Times New Roman" w:cs="Times New Roman" w:eastAsia="Times New Roman" w:hAnsi="Times New Roman"/>
          <w:sz w:val="18"/>
          <w:szCs w:val="18"/>
          <w:color w:val="auto"/>
        </w:rPr>
        <w:t>Includes global sales of Stuart Weitzman brand products primarily through our DTC, wholesale and licensing businesses.</w:t>
      </w:r>
    </w:p>
    <w:p>
      <w:pPr>
        <w:spacing w:after="0" w:line="114" w:lineRule="exact"/>
        <w:rPr>
          <w:sz w:val="20"/>
          <w:szCs w:val="20"/>
          <w:color w:val="auto"/>
        </w:rPr>
      </w:pPr>
    </w:p>
    <w:p>
      <w:pPr>
        <w:jc w:val="both"/>
        <w:ind w:firstLine="179"/>
        <w:spacing w:after="0" w:line="260" w:lineRule="auto"/>
        <w:rPr>
          <w:sz w:val="20"/>
          <w:szCs w:val="20"/>
          <w:color w:val="auto"/>
        </w:rPr>
      </w:pPr>
      <w:r>
        <w:rPr>
          <w:rFonts w:ascii="Times New Roman" w:cs="Times New Roman" w:eastAsia="Times New Roman" w:hAnsi="Times New Roman"/>
          <w:sz w:val="18"/>
          <w:szCs w:val="18"/>
          <w:color w:val="auto"/>
        </w:rPr>
        <w:t>Each of our brands is unique and independent, while sharing a commitment to innovation and authenticity defined by distinctive products and differentiated customer experiences across business channels and geographies. Our success does not depend solely on the performance of a single business channel, geographic area or brand.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b w:val="1"/>
          <w:bCs w:val="1"/>
          <w:color w:val="auto"/>
        </w:rPr>
        <w:t>Capri Holdings Limited Acquisition</w:t>
      </w:r>
    </w:p>
    <w:p>
      <w:pPr>
        <w:spacing w:after="0" w:line="114"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On August 10, 2023, the Company entered into the Merger Agreement by and among the Company, Sunrise Merger Sub, Inc., a direct wholly owned subsidiary of Tapestry, and Capri for $57.00 per share in cash for a total enterprise value of approximately $8.50 billion. The Capri Acquisition, once completed, will bring together six highly complementary brands with global reach, powered by the Company’s data-rich customer engagement platform and diversified, direct-to-consumer operating model. In order to finance the Capri Acquisition, on November 27, 2023, the Company issued $4.50 billion of U.S. dollar-denominated senior unsecured notes (the "Capri Acquisition USD Senior Notes") and €1.50 billion of Euro-denominated senior unsecured notes (the "Capri Acquisition EUR Senior Notes" and, together with the Capri Acquisition USD Senior Notes, the "Capri Acquisition Senior Notes") which, together with the $1.40 billion of delayed draw unsecured term loan facilities (the "Capri Acquisition Term Loan Facilities") executed on August 30, 2023, complete the expected financing for the Capri Acquisition. The Company has received regulatory approval from all applicable jurisdictions except for the United States. On April 22, 2024, the FTC filed a complaint against the Company and Capri in the United States District Court for the Southern District of New York seeking to enjoin the consummation of the Capri Acquisition. The FTC’s complaint alleges that the Capri Acquisition, if consummated, would violate Section 7 of the Clayton Act and that the Merger Agreement and the Capri Acquisition constitute unfair methods of competition in violation of Section 5 of the Federal Trade Commission Act and should be enjoined. The trial commenced on September 9, 2024, and on October 24, 2024, the Court issued its Opinion and Order granting the FTC's request for a preliminary injunction of the Merger, pending an administrative trial on the merits which is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 Refer to Note 5, "Acquisitions" and Note 16, "Subsequent Events" for further information.</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2025 Growth Strategy</w:t>
      </w:r>
    </w:p>
    <w:p>
      <w:pPr>
        <w:spacing w:after="0" w:line="112"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color w:val="auto"/>
        </w:rPr>
        <w:t>In the first quarter of fiscal 2023, the Company introduced the 2025 growth strategy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speed”), designed to amplify and extend the competitive advantages of its brands, with a focus on four strategic priorities:</w:t>
      </w:r>
    </w:p>
    <w:p>
      <w:pPr>
        <w:spacing w:after="0" w:line="55" w:lineRule="exact"/>
        <w:rPr>
          <w:sz w:val="20"/>
          <w:szCs w:val="20"/>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Lasting Customer Relationships: The Company’s brands aim to leverage Tapestry’s transformed business model to drive customer lifetime value through a combination of increased customer acquisition, retention and reactivation.</w:t>
      </w:r>
    </w:p>
    <w:p>
      <w:pPr>
        <w:spacing w:after="0" w:line="56"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Fueling Fashion Innovation &amp; Product Excellence: The Company aims to drive sustained growth in core handbags and small leathergoods, while accelerating gains in footwear and lifestyle products.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Compelling Omni-Channel Experiences: The Company aims to extend its omni-channel leadership to meet the customer wherever they shop, delivering growth online and in stores.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Global Growth: The Company aims to support balanced growth across regions, prioritizing North America and China, its largest markets, while capitalizing on opportunities in under-penetrated geographies such as Southeast Asia and Europe.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AND INDUSTRY TRENDS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environment in which we operate is subject to a number of different factors driving global consumer spending. Consumer preferences, macroeconomic conditions, foreign currency fluctuations and geopolitical events continue to impact overall levels of consumer travel and spending on discretionary items, with inconsistent patterns across business channels and geographies.</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will continue to monitor the below trends and evaluate and adjust our operating strategies and cost management opportunities to mitigate the related impact on our results of operations, while remaining focused on the long-term growth of our business and protecting the value of our brands.</w:t>
      </w:r>
    </w:p>
    <w:p>
      <w:pPr>
        <w:spacing w:after="0" w:line="5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a detailed discussion of significant risk factors that have the potential to cause our actual results to differ materially from our expectations, see Part I, Item 1A. "Risk Factors" herein and as disclosed in our Annual Report on Form 10-K for the year ended June 29, 2024.</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Outlook</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2025, the macroeconomic environment remained challenging and volatile. Several organizations that monitor the world’s economy, including the International Monetary Fund, continue to forecast growth in the global economy, and remains unchanged since the fourth quarter of fiscal 2024. The forecast is below the historical growth average and is reflective of the current volatile environment, including tighter monetary and fiscal policies which have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continued to moderate inflation, financial market volatility and the negative economic impacts of geopolitical instability in certain regions of the world.</w:t>
      </w:r>
    </w:p>
    <w:p>
      <w:pPr>
        <w:spacing w:after="0" w:line="112"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In the first quarter of fiscal 2025, the U.S. Dollar continued to fluctuate as compared to foreign currencies in regions where we conduct our business. This trend has resulted in impacts to our business including, but not limited to, a decrease in Net sales of $6.0 million, a positive impact to gross margin of approximately 40 basis points which benefited from the Company's hedging activity and approximately 10 basis point positive impact to operating margin.</w:t>
      </w:r>
    </w:p>
    <w:p>
      <w:pPr>
        <w:spacing w:after="0" w:line="71"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Currency volatility, political instability, such as the uncertainty associated with the potential impact of the new policies that may be implemented as a result of the U.S. Presidential election and potential changes to trade agreements or duty rates may also contribute to a worsening of the macroeconomic environment or adversely impact our business. Since fiscal 2019, the U.S. and China have both imposed tariffs on the importation of certain product categories into the respective country, with limited progress in negotiations to reduce or remove the tariffs.</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During fiscal 2024, certain geopolitical events have impacted trade routes in the Red Sea which have modestly increased inventory in-transit times and costs. The Company has taken actions to minimize any potential disruptions and at this time, does not anticipate material impact to our business or operating results. We will continue to closely monitor the situation.</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response to the current environment, the Company continues to take strategic actions considering near-term exigencies and remains committed to maintaining the health of the brands and business.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Legislation</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On August 16, 2022, the Inflation Reduction Act of 2022 was signed into law by the Biden Administration, with tax provisions primarily focused on implementing a 15% CAMT on global adjusted financial statement income and a 1% excise tax on share repurchases. The CAMT was effective at the beginning of fiscal 2024 and did not have a material impact on the Company’s effective tax rate.</w:t>
      </w:r>
    </w:p>
    <w:p>
      <w:pPr>
        <w:spacing w:after="0" w:line="7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December 12, 2022, the E.U. member states also reached an agreement to implement the OECD’s reform of international taxation known as GloBE, which broadly mirrors the Inflation Reduction Act by imposing a 15% global minimum tax on multinational companies. Based on the countries in which we do business that have enacted legislation effective January 1, 2025, we do not expect the impact of these changes to be material for fiscal 2025. A number of other countries are also implementing similar legislation with effective dates starting in 2026. As a result, we do expect a modest negative impact on the Company’s effective tax rate, however, this could change as other countries enact similar legislation and further guidance is released. We continue to closely monitor regulatory developments to assess potential impacts.</w:t>
      </w:r>
    </w:p>
    <w:p>
      <w:pPr>
        <w:spacing w:after="0" w:line="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Company's results are typically affected by seasonal trends. During the first fiscal quarter, we typically build inventory for the winter and holiday season. In the second fiscal quarter, working capital requirements are reduced substantially as we generate higher net sales and operating income, especially during the holiday season.</w:t>
      </w:r>
    </w:p>
    <w:p>
      <w:pPr>
        <w:spacing w:after="0" w:line="7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Fluctuations in net sales, operating income and operating cash flows of the Company in any fiscal quarter may be affected by the timing of wholesale shipments and other events affecting retail sales, including weather and macroeconomic events.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2025 COMPARED TO FIRST QUARTER FISCAL 2024</w:t>
      </w:r>
    </w:p>
    <w:p>
      <w:pPr>
        <w:spacing w:after="0" w:line="114"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results of operations for the first quarter of fiscal 2025 compared to the first quarter of fiscal 2024. All percentages shown in the table below and the discussion that follows have been calculated using unrounded numbers.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September 30, 2023</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color w:val="auto"/>
              </w:rPr>
              <w:t>Variance</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gridSpan w:val="2"/>
          </w:tcPr>
          <w:p>
            <w:pPr>
              <w:jc w:val="center"/>
              <w:ind w:right="120"/>
              <w:spacing w:after="0" w:line="197"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120"/>
              <w:spacing w:after="0" w:line="197" w:lineRule="exact"/>
              <w:rPr>
                <w:sz w:val="20"/>
                <w:szCs w:val="20"/>
                <w:color w:val="auto"/>
              </w:rPr>
            </w:pPr>
            <w:r>
              <w:rPr>
                <w:rFonts w:ascii="Times New Roman" w:cs="Times New Roman" w:eastAsia="Times New Roman" w:hAnsi="Times New Roman"/>
                <w:sz w:val="18"/>
                <w:szCs w:val="18"/>
                <w:color w:val="auto"/>
                <w:w w:val="98"/>
              </w:rPr>
              <w:t>% of</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sales</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net sales</w:t>
            </w:r>
          </w:p>
        </w:tc>
        <w:tc>
          <w:tcPr>
            <w:tcW w:w="220" w:type="dxa"/>
            <w:vAlign w:val="bottom"/>
          </w:tcPr>
          <w:p>
            <w:pPr>
              <w:spacing w:after="0"/>
              <w:rPr>
                <w:sz w:val="20"/>
                <w:szCs w:val="20"/>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1,134.9</w:t>
            </w:r>
          </w:p>
        </w:tc>
        <w:tc>
          <w:tcPr>
            <w:tcW w:w="100" w:type="dxa"/>
            <w:vAlign w:val="bottom"/>
          </w:tcPr>
          <w:p>
            <w:pPr>
              <w:spacing w:after="0"/>
              <w:rPr>
                <w:sz w:val="19"/>
                <w:szCs w:val="19"/>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75.3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00" w:type="dxa"/>
            <w:vAlign w:val="bottom"/>
          </w:tcPr>
          <w:p>
            <w:pPr>
              <w:spacing w:after="0"/>
              <w:rPr>
                <w:sz w:val="19"/>
                <w:szCs w:val="19"/>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19"/>
                <w:szCs w:val="19"/>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tcPr>
          <w:p>
            <w:pPr>
              <w:spacing w:after="0"/>
              <w:rPr>
                <w:sz w:val="19"/>
                <w:szCs w:val="19"/>
                <w:color w:val="auto"/>
              </w:rPr>
            </w:pPr>
          </w:p>
        </w:tc>
        <w:tc>
          <w:tcPr>
            <w:tcW w:w="14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6"/>
        </w:trPr>
        <w:tc>
          <w:tcPr>
            <w:tcW w:w="2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383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accounting principles generally accepted in the United States of America ("GAAP"). The reported results during the first quarter of fiscal 2025 and fiscal 2024 reflect certain items which affect the comparability of our results, as noted in the following table. Refer to "Non-GAAP Measures" herein for further discussion on the Non-GAAP measures.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Fiscal 2025 Items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gridSpan w:val="7"/>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28, 2024</w:t>
            </w:r>
          </w:p>
        </w:tc>
        <w:tc>
          <w:tcPr>
            <w:tcW w:w="0" w:type="dxa"/>
            <w:vAlign w:val="bottom"/>
          </w:tcPr>
          <w:p>
            <w:pPr>
              <w:spacing w:after="0"/>
              <w:rPr>
                <w:sz w:val="1"/>
                <w:szCs w:val="1"/>
                <w:color w:val="auto"/>
              </w:rPr>
            </w:pPr>
          </w:p>
        </w:tc>
      </w:tr>
      <w:tr>
        <w:trPr>
          <w:trHeight w:val="222"/>
        </w:trPr>
        <w:tc>
          <w:tcPr>
            <w:tcW w:w="5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jc w:val="center"/>
              <w:ind w:left="1135"/>
              <w:spacing w:after="0"/>
              <w:rPr>
                <w:sz w:val="20"/>
                <w:szCs w:val="20"/>
                <w:color w:val="auto"/>
              </w:rPr>
            </w:pPr>
            <w:r>
              <w:rPr>
                <w:rFonts w:ascii="Times New Roman" w:cs="Times New Roman" w:eastAsia="Times New Roman" w:hAnsi="Times New Roman"/>
                <w:sz w:val="18"/>
                <w:szCs w:val="18"/>
                <w:b w:val="1"/>
                <w:bCs w:val="1"/>
                <w:color w:val="auto"/>
                <w:w w:val="98"/>
              </w:rPr>
              <w:t>Items Affecting Comparability</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w w:val="98"/>
              </w:rPr>
              <w:t>GAAP Basis</w:t>
            </w:r>
          </w:p>
        </w:tc>
        <w:tc>
          <w:tcPr>
            <w:tcW w:w="160" w:type="dxa"/>
            <w:vAlign w:val="bottom"/>
          </w:tcPr>
          <w:p>
            <w:pPr>
              <w:spacing w:after="0"/>
              <w:rPr>
                <w:sz w:val="13"/>
                <w:szCs w:val="13"/>
                <w:color w:val="auto"/>
              </w:rPr>
            </w:pPr>
          </w:p>
        </w:tc>
        <w:tc>
          <w:tcPr>
            <w:tcW w:w="1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00" w:type="dxa"/>
            <w:vAlign w:val="bottom"/>
          </w:tcPr>
          <w:p>
            <w:pPr>
              <w:spacing w:after="0"/>
              <w:rPr>
                <w:sz w:val="13"/>
                <w:szCs w:val="13"/>
                <w:color w:val="auto"/>
              </w:rPr>
            </w:pPr>
          </w:p>
        </w:tc>
        <w:tc>
          <w:tcPr>
            <w:tcW w:w="1440" w:type="dxa"/>
            <w:vAlign w:val="bottom"/>
          </w:tcPr>
          <w:p>
            <w:pPr>
              <w:jc w:val="right"/>
              <w:ind w:right="153"/>
              <w:spacing w:after="0" w:line="153" w:lineRule="exact"/>
              <w:rPr>
                <w:sz w:val="20"/>
                <w:szCs w:val="20"/>
                <w:color w:val="auto"/>
              </w:rPr>
            </w:pPr>
            <w:r>
              <w:rPr>
                <w:rFonts w:ascii="Times New Roman" w:cs="Times New Roman" w:eastAsia="Times New Roman" w:hAnsi="Times New Roman"/>
                <w:sz w:val="16"/>
                <w:szCs w:val="16"/>
                <w:b w:val="1"/>
                <w:bCs w:val="1"/>
                <w:color w:val="auto"/>
                <w:w w:val="99"/>
              </w:rPr>
              <w:t>Non-GAAP Basis</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 Reported)</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98"/>
              </w:rPr>
              <w:t>(Excluding Items)</w:t>
            </w:r>
          </w:p>
        </w:tc>
        <w:tc>
          <w:tcPr>
            <w:tcW w:w="0" w:type="dxa"/>
            <w:vAlign w:val="bottom"/>
          </w:tcPr>
          <w:p>
            <w:pPr>
              <w:spacing w:after="0"/>
              <w:rPr>
                <w:sz w:val="1"/>
                <w:szCs w:val="1"/>
                <w:color w:val="auto"/>
              </w:rPr>
            </w:pPr>
          </w:p>
        </w:tc>
      </w:tr>
      <w:tr>
        <w:trPr>
          <w:trHeight w:val="187"/>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gridSpan w:val="5"/>
          </w:tcPr>
          <w:p>
            <w:pPr>
              <w:jc w:val="center"/>
              <w:ind w:left="1315"/>
              <w:spacing w:after="0"/>
              <w:rPr>
                <w:sz w:val="20"/>
                <w:szCs w:val="20"/>
                <w:color w:val="auto"/>
              </w:rPr>
            </w:pPr>
            <w:r>
              <w:rPr>
                <w:rFonts w:ascii="Times New Roman" w:cs="Times New Roman" w:eastAsia="Times New Roman" w:hAnsi="Times New Roman"/>
                <w:sz w:val="14"/>
                <w:szCs w:val="14"/>
                <w:b w:val="1"/>
                <w:bCs w:val="1"/>
                <w:color w:val="auto"/>
              </w:rPr>
              <w:t>(millions, except per share data)</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Coach</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Kate Spade</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2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Stuart Weitzman</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0" w:type="dxa"/>
            <w:vAlign w:val="bottom"/>
          </w:tcPr>
          <w:p>
            <w:pPr>
              <w:spacing w:after="0"/>
              <w:rPr>
                <w:sz w:val="1"/>
                <w:szCs w:val="1"/>
                <w:color w:val="auto"/>
              </w:rPr>
            </w:pPr>
          </w:p>
        </w:tc>
      </w:tr>
      <w:tr>
        <w:trPr>
          <w:trHeight w:val="22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w:t>
            </w:r>
          </w:p>
        </w:tc>
        <w:tc>
          <w:tcPr>
            <w:tcW w:w="0" w:type="dxa"/>
            <w:vAlign w:val="bottom"/>
          </w:tcPr>
          <w:p>
            <w:pPr>
              <w:spacing w:after="0"/>
              <w:rPr>
                <w:sz w:val="1"/>
                <w:szCs w:val="1"/>
                <w:color w:val="auto"/>
              </w:rPr>
            </w:pPr>
          </w:p>
        </w:tc>
      </w:tr>
      <w:tr>
        <w:trPr>
          <w:trHeight w:val="246"/>
        </w:trPr>
        <w:tc>
          <w:tcPr>
            <w:tcW w:w="58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w:t>
            </w:r>
          </w:p>
        </w:tc>
        <w:tc>
          <w:tcPr>
            <w:tcW w:w="0" w:type="dxa"/>
            <w:vAlign w:val="bottom"/>
          </w:tcPr>
          <w:p>
            <w:pPr>
              <w:spacing w:after="0"/>
              <w:rPr>
                <w:sz w:val="1"/>
                <w:szCs w:val="1"/>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diluted common share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2025, the Company incurred charges as follows:</w:t>
      </w:r>
    </w:p>
    <w:p>
      <w:pPr>
        <w:spacing w:after="0" w:line="110" w:lineRule="exact"/>
        <w:rPr>
          <w:sz w:val="20"/>
          <w:szCs w:val="20"/>
          <w:color w:val="auto"/>
        </w:rPr>
      </w:pPr>
    </w:p>
    <w:p>
      <w:pPr>
        <w:ind w:left="640" w:hanging="315"/>
        <w:spacing w:after="0" w:line="277"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$70.8 million attributable to the Capri Acquisition. These charges include $37.4 million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recorded in interest expense and $33.4 million primarily related to professional fees recorded in SG&amp;A expense within Corporate.</w:t>
      </w:r>
    </w:p>
    <w:p>
      <w:pPr>
        <w:spacing w:after="0" w:line="55" w:lineRule="exact"/>
        <w:rPr>
          <w:sz w:val="20"/>
          <w:szCs w:val="20"/>
          <w:color w:val="auto"/>
        </w:rPr>
      </w:pPr>
    </w:p>
    <w:p>
      <w:pPr>
        <w:ind w:firstLine="178"/>
        <w:spacing w:after="0" w:line="275"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$33.4 million, increased interest expense by $37.4 million and reduced the provision for income tax by $15.8 million resulting in a net decrease in net income by $55.0 million or $0.23 per diluted share.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Segment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28, 2024</w:t>
            </w: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ind w:left="1094"/>
              <w:spacing w:after="0"/>
              <w:rPr>
                <w:sz w:val="20"/>
                <w:szCs w:val="20"/>
                <w:color w:val="auto"/>
              </w:rPr>
            </w:pPr>
            <w:r>
              <w:rPr>
                <w:rFonts w:ascii="Times New Roman" w:cs="Times New Roman" w:eastAsia="Times New Roman" w:hAnsi="Times New Roman"/>
                <w:sz w:val="18"/>
                <w:szCs w:val="18"/>
                <w:b w:val="1"/>
                <w:bCs w:val="1"/>
                <w:color w:val="auto"/>
                <w:w w:val="98"/>
              </w:rPr>
              <w:t>Items Affecting Comparability</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60"/>
              <w:spacing w:after="0" w:line="153" w:lineRule="exact"/>
              <w:rPr>
                <w:sz w:val="20"/>
                <w:szCs w:val="20"/>
                <w:color w:val="auto"/>
              </w:rPr>
            </w:pPr>
            <w:r>
              <w:rPr>
                <w:rFonts w:ascii="Times New Roman" w:cs="Times New Roman" w:eastAsia="Times New Roman" w:hAnsi="Times New Roman"/>
                <w:sz w:val="16"/>
                <w:szCs w:val="16"/>
                <w:b w:val="1"/>
                <w:bCs w:val="1"/>
                <w:color w:val="auto"/>
                <w:w w:val="98"/>
              </w:rPr>
              <w:t>GAAP Basis</w:t>
            </w:r>
          </w:p>
        </w:tc>
        <w:tc>
          <w:tcPr>
            <w:tcW w:w="160" w:type="dxa"/>
            <w:vAlign w:val="bottom"/>
          </w:tcPr>
          <w:p>
            <w:pPr>
              <w:spacing w:after="0"/>
              <w:rPr>
                <w:sz w:val="13"/>
                <w:szCs w:val="13"/>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Acquisition Costs</w:t>
            </w:r>
          </w:p>
        </w:tc>
        <w:tc>
          <w:tcPr>
            <w:tcW w:w="200" w:type="dxa"/>
            <w:vAlign w:val="bottom"/>
          </w:tcPr>
          <w:p>
            <w:pPr>
              <w:spacing w:after="0"/>
              <w:rPr>
                <w:sz w:val="13"/>
                <w:szCs w:val="13"/>
                <w:color w:val="auto"/>
              </w:rPr>
            </w:pPr>
          </w:p>
        </w:tc>
        <w:tc>
          <w:tcPr>
            <w:tcW w:w="1440" w:type="dxa"/>
            <w:vAlign w:val="bottom"/>
          </w:tcPr>
          <w:p>
            <w:pPr>
              <w:jc w:val="right"/>
              <w:ind w:right="154"/>
              <w:spacing w:after="0" w:line="153" w:lineRule="exact"/>
              <w:rPr>
                <w:sz w:val="20"/>
                <w:szCs w:val="20"/>
                <w:color w:val="auto"/>
              </w:rPr>
            </w:pPr>
            <w:r>
              <w:rPr>
                <w:rFonts w:ascii="Times New Roman" w:cs="Times New Roman" w:eastAsia="Times New Roman" w:hAnsi="Times New Roman"/>
                <w:sz w:val="16"/>
                <w:szCs w:val="16"/>
                <w:b w:val="1"/>
                <w:bCs w:val="1"/>
                <w:color w:val="auto"/>
                <w:w w:val="99"/>
              </w:rPr>
              <w:t>Non-GAAP Basis</w:t>
            </w: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(As Reported)</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8"/>
              </w:rPr>
              <w:t>(Excluding Items)</w:t>
            </w: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80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0" w:type="dxa"/>
            <w:vAlign w:val="bottom"/>
          </w:tcPr>
          <w:p>
            <w:pPr>
              <w:spacing w:after="0"/>
              <w:rPr>
                <w:sz w:val="1"/>
                <w:szCs w:val="1"/>
                <w:color w:val="auto"/>
              </w:rPr>
            </w:pPr>
          </w:p>
        </w:tc>
      </w:tr>
      <w:tr>
        <w:trPr>
          <w:trHeight w:val="22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0" w:type="dxa"/>
            <w:vAlign w:val="bottom"/>
          </w:tcPr>
          <w:p>
            <w:pPr>
              <w:spacing w:after="0"/>
              <w:rPr>
                <w:sz w:val="1"/>
                <w:szCs w:val="1"/>
                <w:color w:val="auto"/>
              </w:rPr>
            </w:pPr>
          </w:p>
        </w:tc>
      </w:tr>
      <w:tr>
        <w:trPr>
          <w:trHeight w:val="226"/>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2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5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First Quarter Fiscal 2024 Items</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5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8"/>
          </w:tcPr>
          <w:p>
            <w:pPr>
              <w:jc w:val="center"/>
              <w:ind w:right="173"/>
              <w:spacing w:after="0"/>
              <w:rPr>
                <w:sz w:val="20"/>
                <w:szCs w:val="20"/>
                <w:color w:val="auto"/>
              </w:rPr>
            </w:pPr>
            <w:r>
              <w:rPr>
                <w:rFonts w:ascii="Times New Roman" w:cs="Times New Roman" w:eastAsia="Times New Roman" w:hAnsi="Times New Roman"/>
                <w:sz w:val="16"/>
                <w:szCs w:val="16"/>
                <w:color w:val="auto"/>
              </w:rPr>
              <w:t>Three Months Ended September 30, 2023</w:t>
            </w:r>
          </w:p>
        </w:tc>
        <w:tc>
          <w:tcPr>
            <w:tcW w:w="0" w:type="dxa"/>
            <w:vAlign w:val="bottom"/>
          </w:tcPr>
          <w:p>
            <w:pPr>
              <w:spacing w:after="0"/>
              <w:rPr>
                <w:sz w:val="1"/>
                <w:szCs w:val="1"/>
                <w:color w:val="auto"/>
              </w:rPr>
            </w:pPr>
          </w:p>
        </w:tc>
      </w:tr>
      <w:tr>
        <w:trPr>
          <w:trHeight w:val="222"/>
        </w:trPr>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jc w:val="center"/>
              <w:ind w:left="1094"/>
              <w:spacing w:after="0"/>
              <w:rPr>
                <w:sz w:val="20"/>
                <w:szCs w:val="20"/>
                <w:color w:val="auto"/>
              </w:rPr>
            </w:pPr>
            <w:r>
              <w:rPr>
                <w:rFonts w:ascii="Times New Roman" w:cs="Times New Roman" w:eastAsia="Times New Roman" w:hAnsi="Times New Roman"/>
                <w:sz w:val="18"/>
                <w:szCs w:val="18"/>
                <w:color w:val="auto"/>
                <w:w w:val="98"/>
              </w:rPr>
              <w:t>Items Affecting Comparability</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334"/>
              <w:spacing w:after="0" w:line="153" w:lineRule="exact"/>
              <w:rPr>
                <w:sz w:val="20"/>
                <w:szCs w:val="20"/>
                <w:color w:val="auto"/>
              </w:rPr>
            </w:pPr>
            <w:r>
              <w:rPr>
                <w:rFonts w:ascii="Times New Roman" w:cs="Times New Roman" w:eastAsia="Times New Roman" w:hAnsi="Times New Roman"/>
                <w:sz w:val="16"/>
                <w:szCs w:val="16"/>
                <w:color w:val="auto"/>
              </w:rPr>
              <w:t>GAAP Basis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Acquisition Costs</w:t>
            </w:r>
          </w:p>
        </w:tc>
        <w:tc>
          <w:tcPr>
            <w:tcW w:w="200" w:type="dxa"/>
            <w:vAlign w:val="bottom"/>
          </w:tcPr>
          <w:p>
            <w:pPr>
              <w:spacing w:after="0"/>
              <w:rPr>
                <w:sz w:val="13"/>
                <w:szCs w:val="13"/>
                <w:color w:val="auto"/>
              </w:rPr>
            </w:pPr>
          </w:p>
        </w:tc>
        <w:tc>
          <w:tcPr>
            <w:tcW w:w="1460" w:type="dxa"/>
            <w:vAlign w:val="bottom"/>
          </w:tcPr>
          <w:p>
            <w:pPr>
              <w:jc w:val="right"/>
              <w:ind w:right="173"/>
              <w:spacing w:after="0" w:line="153" w:lineRule="exact"/>
              <w:rPr>
                <w:sz w:val="20"/>
                <w:szCs w:val="20"/>
                <w:color w:val="auto"/>
              </w:rPr>
            </w:pPr>
            <w:r>
              <w:rPr>
                <w:rFonts w:ascii="Times New Roman" w:cs="Times New Roman" w:eastAsia="Times New Roman" w:hAnsi="Times New Roman"/>
                <w:sz w:val="16"/>
                <w:szCs w:val="16"/>
                <w:color w:val="auto"/>
              </w:rPr>
              <w:t>Non-GAAP Basis</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color w:val="auto"/>
              </w:rPr>
              <w:t>(As Reported)</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color w:val="auto"/>
              </w:rPr>
              <w:t>(Excluding Items)</w:t>
            </w:r>
          </w:p>
        </w:tc>
        <w:tc>
          <w:tcPr>
            <w:tcW w:w="0" w:type="dxa"/>
            <w:vAlign w:val="bottom"/>
          </w:tcPr>
          <w:p>
            <w:pPr>
              <w:spacing w:after="0"/>
              <w:rPr>
                <w:sz w:val="1"/>
                <w:szCs w:val="1"/>
                <w:color w:val="auto"/>
              </w:rPr>
            </w:pPr>
          </w:p>
        </w:tc>
      </w:tr>
      <w:tr>
        <w:trPr>
          <w:trHeight w:val="187"/>
        </w:trPr>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color w:val="auto"/>
              </w:rPr>
              <w:t>(millions, except per share data)</w:t>
            </w: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46"/>
        </w:trPr>
        <w:tc>
          <w:tcPr>
            <w:tcW w:w="59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diluted common share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fiscal 2024, the Company incurred charges as follows:</w:t>
      </w:r>
    </w:p>
    <w:p>
      <w:pPr>
        <w:spacing w:after="0" w:line="110" w:lineRule="exact"/>
        <w:rPr>
          <w:sz w:val="20"/>
          <w:szCs w:val="20"/>
          <w:color w:val="auto"/>
        </w:rPr>
      </w:pPr>
    </w:p>
    <w:p>
      <w:pPr>
        <w:ind w:left="640" w:hanging="315"/>
        <w:spacing w:after="0" w:line="277"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Costs </w:t>
      </w:r>
      <w:r>
        <w:rPr>
          <w:rFonts w:ascii="Times New Roman" w:cs="Times New Roman" w:eastAsia="Times New Roman" w:hAnsi="Times New Roman"/>
          <w:sz w:val="18"/>
          <w:szCs w:val="18"/>
          <w:color w:val="auto"/>
        </w:rPr>
        <w:t>- Total pre-tax charges of $26.3 million attributable to the Capri Acquisition. These charges include $19.6 million primarily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professional fees recorded in SG&amp;A expense within Corporate and $6.7 million related to financing recorded in interest expense.</w:t>
      </w:r>
    </w:p>
    <w:p>
      <w:pPr>
        <w:spacing w:after="0" w:line="55" w:lineRule="exact"/>
        <w:rPr>
          <w:sz w:val="20"/>
          <w:szCs w:val="20"/>
          <w:color w:val="auto"/>
        </w:rPr>
      </w:pPr>
    </w:p>
    <w:p>
      <w:pPr>
        <w:ind w:firstLine="194"/>
        <w:spacing w:after="0" w:line="275" w:lineRule="auto"/>
        <w:rPr>
          <w:sz w:val="20"/>
          <w:szCs w:val="20"/>
          <w:color w:val="auto"/>
        </w:rPr>
      </w:pPr>
      <w:r>
        <w:rPr>
          <w:rFonts w:ascii="Times New Roman" w:cs="Times New Roman" w:eastAsia="Times New Roman" w:hAnsi="Times New Roman"/>
          <w:sz w:val="18"/>
          <w:szCs w:val="18"/>
          <w:color w:val="auto"/>
        </w:rPr>
        <w:t>These actions taken together negatively impacted operating income by $19.6 million, increased interest expense by $6.7 million and reduced the provision for income tax by $5.0 million resulting in a net decrease in net income by $21.3 million or $0.09 per diluted share.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Segment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center"/>
              <w:ind w:right="154"/>
              <w:spacing w:after="0"/>
              <w:rPr>
                <w:sz w:val="20"/>
                <w:szCs w:val="20"/>
                <w:color w:val="auto"/>
              </w:rPr>
            </w:pPr>
            <w:r>
              <w:rPr>
                <w:rFonts w:ascii="Times New Roman" w:cs="Times New Roman" w:eastAsia="Times New Roman" w:hAnsi="Times New Roman"/>
                <w:sz w:val="16"/>
                <w:szCs w:val="16"/>
                <w:color w:val="auto"/>
                <w:w w:val="99"/>
              </w:rPr>
              <w:t>Three Months Ended September 30, 2023</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6"/>
          </w:tcPr>
          <w:p>
            <w:pPr>
              <w:jc w:val="center"/>
              <w:ind w:left="1134"/>
              <w:spacing w:after="0"/>
              <w:rPr>
                <w:sz w:val="20"/>
                <w:szCs w:val="20"/>
                <w:color w:val="auto"/>
              </w:rPr>
            </w:pPr>
            <w:r>
              <w:rPr>
                <w:rFonts w:ascii="Times New Roman" w:cs="Times New Roman" w:eastAsia="Times New Roman" w:hAnsi="Times New Roman"/>
                <w:sz w:val="18"/>
                <w:szCs w:val="18"/>
                <w:color w:val="auto"/>
                <w:w w:val="98"/>
              </w:rPr>
              <w:t>Items Affecting Comparability</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6"/>
                <w:szCs w:val="16"/>
                <w:color w:val="auto"/>
                <w:w w:val="99"/>
              </w:rPr>
              <w:t>GAAP Basis</w:t>
            </w:r>
          </w:p>
        </w:tc>
        <w:tc>
          <w:tcPr>
            <w:tcW w:w="18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Acquisition Costs</w:t>
            </w:r>
          </w:p>
        </w:tc>
        <w:tc>
          <w:tcPr>
            <w:tcW w:w="180" w:type="dxa"/>
            <w:vAlign w:val="bottom"/>
          </w:tcPr>
          <w:p>
            <w:pPr>
              <w:spacing w:after="0"/>
              <w:rPr>
                <w:sz w:val="13"/>
                <w:szCs w:val="13"/>
                <w:color w:val="auto"/>
              </w:rPr>
            </w:pPr>
          </w:p>
        </w:tc>
        <w:tc>
          <w:tcPr>
            <w:tcW w:w="1460" w:type="dxa"/>
            <w:vAlign w:val="bottom"/>
          </w:tcPr>
          <w:p>
            <w:pPr>
              <w:jc w:val="right"/>
              <w:ind w:right="154"/>
              <w:spacing w:after="0" w:line="153" w:lineRule="exact"/>
              <w:rPr>
                <w:sz w:val="20"/>
                <w:szCs w:val="20"/>
                <w:color w:val="auto"/>
              </w:rPr>
            </w:pPr>
            <w:r>
              <w:rPr>
                <w:rFonts w:ascii="Times New Roman" w:cs="Times New Roman" w:eastAsia="Times New Roman" w:hAnsi="Times New Roman"/>
                <w:sz w:val="16"/>
                <w:szCs w:val="16"/>
                <w:color w:val="auto"/>
              </w:rPr>
              <w:t>Non-GAAP Basis</w:t>
            </w: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(As Reported)</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color w:val="auto"/>
              </w:rPr>
              <w:t>(Excluding Items)</w:t>
            </w:r>
          </w:p>
        </w:tc>
        <w:tc>
          <w:tcPr>
            <w:tcW w:w="0" w:type="dxa"/>
            <w:vAlign w:val="bottom"/>
          </w:tcPr>
          <w:p>
            <w:pPr>
              <w:spacing w:after="0"/>
              <w:rPr>
                <w:sz w:val="1"/>
                <w:szCs w:val="1"/>
                <w:color w:val="auto"/>
              </w:rPr>
            </w:pPr>
          </w:p>
        </w:tc>
      </w:tr>
      <w:tr>
        <w:trPr>
          <w:trHeight w:val="187"/>
        </w:trPr>
        <w:tc>
          <w:tcPr>
            <w:tcW w:w="3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(millions)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Coach</w:t>
            </w:r>
          </w:p>
        </w:tc>
        <w:tc>
          <w:tcPr>
            <w:tcW w:w="28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Spade</w:t>
            </w: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Weitzman</w:t>
            </w:r>
          </w:p>
        </w:tc>
        <w:tc>
          <w:tcPr>
            <w:tcW w:w="2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6"/>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SG&amp;A expenses</w:t>
            </w:r>
          </w:p>
        </w:tc>
        <w:tc>
          <w:tcPr>
            <w:tcW w:w="2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4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48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Tapestry, Inc. Summary – First Quarter of Fiscal 2025</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Currency Fluctuation Effects</w:t>
      </w:r>
    </w:p>
    <w:p>
      <w:pPr>
        <w:spacing w:after="0" w:line="11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change in net sales for the first quarter of fiscal 2025 compared to the first quarter of fiscal 2024 has been presented both including and excluding currency fluctuation effects. All percentages shown in the tables below and the discussion that follows have been calculated using unrounded numbers.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6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114"/>
              <w:spacing w:after="0" w:line="166" w:lineRule="exact"/>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top w:val="single" w:sz="8" w:color="auto"/>
            </w:tcBorders>
            <w:vMerge w:val="restart"/>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4"/>
                <w:szCs w:val="14"/>
                <w:color w:val="auto"/>
              </w:rPr>
            </w:pPr>
          </w:p>
        </w:tc>
        <w:tc>
          <w:tcPr>
            <w:tcW w:w="15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8"/>
                <w:szCs w:val="18"/>
                <w:b w:val="1"/>
                <w:bCs w:val="1"/>
                <w:color w:val="auto"/>
              </w:rPr>
              <w:t>Constant Currency</w:t>
            </w: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1.1 %</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5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Tapestry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Net sales in the first quarter of fiscal 2025 decreased 0.4% or $5.7 million to $1.51 billion. Excluding the impact of foreign currency, Net sales were even compared to the prior year.</w:t>
      </w:r>
    </w:p>
    <w:p>
      <w:pPr>
        <w:spacing w:after="0" w:line="55" w:lineRule="exact"/>
        <w:rPr>
          <w:sz w:val="20"/>
          <w:szCs w:val="20"/>
          <w:color w:val="auto"/>
        </w:rPr>
      </w:pPr>
    </w:p>
    <w:p>
      <w:pPr>
        <w:jc w:val="both"/>
        <w:ind w:left="640" w:hanging="315"/>
        <w:spacing w:after="0" w:line="256"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Net Sales </w:t>
      </w:r>
      <w:r>
        <w:rPr>
          <w:rFonts w:ascii="Times New Roman" w:cs="Times New Roman" w:eastAsia="Times New Roman" w:hAnsi="Times New Roman"/>
          <w:sz w:val="18"/>
          <w:szCs w:val="18"/>
          <w:color w:val="auto"/>
        </w:rPr>
        <w:t>increased 1.1% or $13.2 million to $1.17 billion in the first quarter of fiscal 2025. Excluding the impact of foreign currency,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1.6% or $18.3 million. This increase in Net sales was primarily due to an increase of $32.9 million in DTC sales driven by e-commerce sales globally. The increase in DTC sales was partially offset by a net $11.7 million decrease in wholesale sales driven by North America, which was partially offset by an increase in international wholesale sales.</w:t>
      </w:r>
    </w:p>
    <w:p>
      <w:pPr>
        <w:spacing w:after="0" w:line="73" w:lineRule="exact"/>
        <w:rPr>
          <w:rFonts w:ascii="Times New Roman" w:cs="Times New Roman" w:eastAsia="Times New Roman" w:hAnsi="Times New Roman"/>
          <w:sz w:val="18"/>
          <w:szCs w:val="18"/>
          <w:i w:val="1"/>
          <w:iCs w:val="1"/>
          <w:color w:val="auto"/>
        </w:rPr>
      </w:pPr>
    </w:p>
    <w:p>
      <w:pPr>
        <w:jc w:val="both"/>
        <w:ind w:left="640" w:hanging="315"/>
        <w:spacing w:after="0" w:line="284" w:lineRule="auto"/>
        <w:tabs>
          <w:tab w:leader="none" w:pos="635" w:val="left"/>
        </w:tabs>
        <w:numPr>
          <w:ilvl w:val="0"/>
          <w:numId w:val="2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Kate Spade Net Sales </w:t>
      </w:r>
      <w:r>
        <w:rPr>
          <w:rFonts w:ascii="Times New Roman" w:cs="Times New Roman" w:eastAsia="Times New Roman" w:hAnsi="Times New Roman"/>
          <w:sz w:val="17"/>
          <w:szCs w:val="17"/>
          <w:color w:val="auto"/>
        </w:rPr>
        <w:t>decreased 6.6% or $20.0 million to $283.2 million in the first quarter of fiscal 2025. Excluding the impact of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sales decreased 6.3% or $18.9 million. This decrease in Net sales was due to a decrease of $24.4 million in DTC sales as a result of lower store and to a lesser extent, e-commerce sales. The decrease in DTC sales was partially offset by an increase of $4.9 million in wholesale sales.</w:t>
      </w:r>
    </w:p>
    <w:p>
      <w:pPr>
        <w:spacing w:after="0" w:line="49" w:lineRule="exact"/>
        <w:rPr>
          <w:rFonts w:ascii="Times New Roman" w:cs="Times New Roman" w:eastAsia="Times New Roman" w:hAnsi="Times New Roman"/>
          <w:sz w:val="17"/>
          <w:szCs w:val="17"/>
          <w:i w:val="1"/>
          <w:iCs w:val="1"/>
          <w:color w:val="auto"/>
        </w:rPr>
      </w:pPr>
    </w:p>
    <w:p>
      <w:pPr>
        <w:ind w:left="640" w:hanging="315"/>
        <w:spacing w:after="0" w:line="277" w:lineRule="auto"/>
        <w:tabs>
          <w:tab w:leader="none" w:pos="63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Stuart Weitzman Net Sales </w:t>
      </w:r>
      <w:r>
        <w:rPr>
          <w:rFonts w:ascii="Times New Roman" w:cs="Times New Roman" w:eastAsia="Times New Roman" w:hAnsi="Times New Roman"/>
          <w:sz w:val="18"/>
          <w:szCs w:val="18"/>
          <w:color w:val="auto"/>
        </w:rPr>
        <w:t>increased 2.1% or $1.1 million to $53.7 million in the first quarter of fiscal 2025. Excluding the impact of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Net sales increased 2.0% or $1.0 million.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8"/>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9"/>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color w:val="auto"/>
              </w:rPr>
              <w:t>September 30, 2023</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80" w:type="dxa"/>
            <w:vAlign w:val="bottom"/>
            <w:tcBorders>
              <w:bottom w:val="single" w:sz="8" w:color="auto"/>
            </w:tcBorders>
          </w:tcPr>
          <w:p>
            <w:pPr>
              <w:spacing w:after="0"/>
              <w:rPr>
                <w:sz w:val="19"/>
                <w:szCs w:val="19"/>
                <w:color w:val="auto"/>
              </w:rPr>
            </w:pPr>
          </w:p>
        </w:tc>
      </w:tr>
      <w:tr>
        <w:trPr>
          <w:trHeight w:val="179"/>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20" w:type="dxa"/>
            <w:vAlign w:val="bottom"/>
          </w:tcPr>
          <w:p>
            <w:pPr>
              <w:spacing w:after="0"/>
              <w:rPr>
                <w:sz w:val="20"/>
                <w:szCs w:val="20"/>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916.1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78.3 %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7"/>
              </w:rPr>
              <w:t>75.0 %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5.6 %</w:t>
            </w:r>
          </w:p>
        </w:tc>
      </w:tr>
      <w:tr>
        <w:trPr>
          <w:trHeight w:val="22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189.6</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5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54.4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r>
      <w:tr>
        <w:trPr>
          <w:trHeight w:val="21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1,134.9</w:t>
            </w:r>
          </w:p>
        </w:tc>
        <w:tc>
          <w:tcPr>
            <w:tcW w:w="15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75.3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Gross profit increased 3.4% or $37.2 million to $1.13 billion in the first quarter of fiscal 2025 from $1.10 billion in the first quarter of fiscal 2024. Gross margin increased 280 basis points to 75.3% in the first quarter of fiscal 2025 from 72.5% in the first quarter of fiscal 2024. This increase in Gross margin was primarily attributed to net pricing improvements, lower freight costs and favorable currency impacts. Refer to "Current Macroeconomic Conditions and Outlook" for further information.</w:t>
      </w:r>
    </w:p>
    <w:p>
      <w:pPr>
        <w:spacing w:after="0" w:line="77"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includes inbound product-related transportation costs from our service providers within Cost of sales. The Company, similar to some companies, includes certain transportation-related costs due to our distribution network in SG&amp;A expenses rather than in Cost of sales; for this reason, our gross margins may not be comparable to that of entities that include all costs related to their distribution network in Cost of sales.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55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 ("SG&amp;A")</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8"/>
        </w:trPr>
        <w:tc>
          <w:tcPr>
            <w:tcW w:w="2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9"/>
        </w:trPr>
        <w:tc>
          <w:tcPr>
            <w:tcW w:w="2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September 30, 2023</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79"/>
        </w:trPr>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9"/>
        </w:trPr>
        <w:tc>
          <w:tcPr>
            <w:tcW w:w="2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40" w:type="dxa"/>
            <w:vAlign w:val="bottom"/>
          </w:tcPr>
          <w:p>
            <w:pPr>
              <w:spacing w:after="0"/>
              <w:rPr>
                <w:sz w:val="20"/>
                <w:szCs w:val="20"/>
                <w:color w:val="auto"/>
              </w:rPr>
            </w:pP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45.3 %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7"/>
              </w:rPr>
              <w:t>42.9 %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50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r>
      <w:tr>
        <w:trPr>
          <w:trHeight w:val="22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5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68.1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8"/>
              </w:rPr>
              <w:t>(3.2)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(8.0)</w:t>
            </w:r>
          </w:p>
        </w:tc>
      </w:tr>
      <w:tr>
        <w:trPr>
          <w:trHeight w:val="226"/>
        </w:trPr>
        <w:tc>
          <w:tcPr>
            <w:tcW w:w="268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3"/>
                <w:szCs w:val="23"/>
                <w:b w:val="1"/>
                <w:bCs w:val="1"/>
                <w:color w:val="auto"/>
                <w:vertAlign w:val="superscript"/>
              </w:rPr>
              <w:t>(1)(2)</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ind w:left="11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882.9</w:t>
            </w:r>
          </w:p>
        </w:tc>
        <w:tc>
          <w:tcPr>
            <w:tcW w:w="150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4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SG&amp;A expenses increased 4.5% or $38.4 million to $882.9 million in the first quarter of fiscal 2025 as compared to $844.5 million in the first quarter of fiscal 2024. As a percentage of net sales, SG&amp;A expenses increased to 58.6% during the first quarter of fiscal 2025 from 55.8% during the first quarter of fiscal 2024. Excluding items affecting comparability of $33.4 million in the first quarter of fiscal 2025, SG&amp;A expenses increased 3.0% or $24.6 million to $849.5 million from $824.9 million in the first quarter of fiscal 2024. SG&amp;A as a percentage of net sales increased 190 basis points to 56.4% compared to 54.5% during the first quarter of fiscal 2024. This increase in SG&amp;A as a percentage of net sales was primarily due to higher marketing spend and increased compensation costs.</w:t>
      </w:r>
    </w:p>
    <w:p>
      <w:pPr>
        <w:spacing w:after="0" w:line="77" w:lineRule="exact"/>
        <w:rPr>
          <w:sz w:val="20"/>
          <w:szCs w:val="20"/>
          <w:color w:val="auto"/>
        </w:rPr>
      </w:pPr>
    </w:p>
    <w:p>
      <w:pPr>
        <w:jc w:val="both"/>
        <w:ind w:left="320" w:hanging="314"/>
        <w:spacing w:after="0" w:line="232" w:lineRule="auto"/>
        <w:tabs>
          <w:tab w:leader="none" w:pos="30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quarter of fiscal 2025, Corporate incurred charges affecting comparability of $33.4 million. Excluding those items affecting comparability, SG&amp;A expenses increased 3.6% or $4.3 million to $120.8 million in the first quarter of fiscal 2025 as compared to $116.5 million in the first quarter of fiscal 2024.</w:t>
      </w:r>
    </w:p>
    <w:p>
      <w:pPr>
        <w:spacing w:after="0" w:line="55"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Corporate expenses, which are included within SG&amp;A expenses discussed above but are not directly attributable to a reportable segment.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8"/>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9"/>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September 28, 2024</w:t>
            </w:r>
          </w:p>
        </w:tc>
        <w:tc>
          <w:tcPr>
            <w:tcW w:w="2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September 30, 2023</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900" w:type="dxa"/>
            <w:vAlign w:val="bottom"/>
            <w:tcBorders>
              <w:bottom w:val="single" w:sz="8" w:color="auto"/>
            </w:tcBorders>
          </w:tcPr>
          <w:p>
            <w:pPr>
              <w:spacing w:after="0"/>
              <w:rPr>
                <w:sz w:val="19"/>
                <w:szCs w:val="19"/>
                <w:color w:val="auto"/>
              </w:rPr>
            </w:pPr>
          </w:p>
        </w:tc>
      </w:tr>
      <w:tr>
        <w:trPr>
          <w:trHeight w:val="179"/>
        </w:trPr>
        <w:tc>
          <w:tcPr>
            <w:tcW w:w="2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9"/>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Net Sales</w:t>
            </w:r>
          </w:p>
        </w:tc>
        <w:tc>
          <w:tcPr>
            <w:tcW w:w="220" w:type="dxa"/>
            <w:vAlign w:val="bottom"/>
          </w:tcPr>
          <w:p>
            <w:pPr>
              <w:spacing w:after="0"/>
              <w:rPr>
                <w:sz w:val="20"/>
                <w:szCs w:val="20"/>
                <w:color w:val="auto"/>
              </w:rPr>
            </w:pPr>
          </w:p>
        </w:tc>
        <w:tc>
          <w:tcPr>
            <w:tcW w:w="10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Amount</w:t>
            </w:r>
          </w:p>
        </w:tc>
        <w:tc>
          <w:tcPr>
            <w:tcW w:w="8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Amount</w:t>
            </w:r>
          </w:p>
        </w:tc>
        <w:tc>
          <w:tcPr>
            <w:tcW w:w="90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Coach</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Kate Spade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50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8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Stuart Weitzman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50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r>
      <w:tr>
        <w:trPr>
          <w:trHeight w:val="226"/>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(13.3)</w:t>
            </w:r>
          </w:p>
        </w:tc>
      </w:tr>
      <w:tr>
        <w:trPr>
          <w:trHeight w:val="244"/>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Tapestry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252.0</w:t>
            </w:r>
          </w:p>
        </w:tc>
        <w:tc>
          <w:tcPr>
            <w:tcW w:w="150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48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16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Operating income decreased $1.2 million to $252.0 million in the first quarter of fiscal 2025 as compared to $253.2 million in the first quarter of fiscal 2024. Operating margin remained even at 16.7% in the first quarter of fiscal 2025 as compared to the first quarter of fiscal 2024. Excluding items affecting comparability of $33.4 million in the first quarter of fiscal 2025, operating income increased $12.6 million to $285.4 million in the first quarter of fiscal 2025 from $272.8 million in the first quarter of fiscal 2024; and operating margin increased 90 basis points to 18.9% in the first quarter of fiscal 2025 as compared to 18.0% in the first quarter of fiscal 2024. This increase in operating margin was primarily attributed to a 280 basis points increase in gross margin partially offset by an increase of 190 basis points in SG&amp;A as a percentage of sales.</w:t>
      </w:r>
    </w:p>
    <w:p>
      <w:pPr>
        <w:spacing w:after="0" w:line="75" w:lineRule="exact"/>
        <w:rPr>
          <w:sz w:val="20"/>
          <w:szCs w:val="20"/>
          <w:color w:val="auto"/>
        </w:rPr>
      </w:pPr>
    </w:p>
    <w:p>
      <w:pPr>
        <w:jc w:val="both"/>
        <w:ind w:left="640" w:hanging="315"/>
        <w:spacing w:after="0" w:line="261"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Coach Operating Income </w:t>
      </w:r>
      <w:r>
        <w:rPr>
          <w:rFonts w:ascii="Times New Roman" w:cs="Times New Roman" w:eastAsia="Times New Roman" w:hAnsi="Times New Roman"/>
          <w:sz w:val="18"/>
          <w:szCs w:val="18"/>
          <w:color w:val="auto"/>
        </w:rPr>
        <w:t>increased $15.3 million to $386.6 million in the first quarter of fiscal 2025, resulting in an operating margin increase of 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points to 33.0%, as compared to $371.3 million and 32.1%, respectively, in the first quarter of fiscal 2024. This increase in operating margin was primarily attributed to:</w:t>
      </w:r>
    </w:p>
    <w:p>
      <w:pPr>
        <w:spacing w:after="0" w:line="68" w:lineRule="exact"/>
        <w:rPr>
          <w:rFonts w:ascii="Times New Roman" w:cs="Times New Roman" w:eastAsia="Times New Roman" w:hAnsi="Times New Roman"/>
          <w:sz w:val="18"/>
          <w:szCs w:val="18"/>
          <w:i w:val="1"/>
          <w:iCs w:val="1"/>
          <w:color w:val="auto"/>
        </w:rPr>
      </w:pPr>
    </w:p>
    <w:p>
      <w:pPr>
        <w:ind w:left="1280" w:hanging="318"/>
        <w:spacing w:after="0"/>
        <w:tabs>
          <w:tab w:leader="none" w:pos="1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increased 330 basis points mainly due to net pricing improvements, favorable currency impacts and lower freight costs;</w:t>
      </w:r>
    </w:p>
    <w:p>
      <w:pPr>
        <w:spacing w:after="0" w:line="111" w:lineRule="exact"/>
        <w:rPr>
          <w:rFonts w:ascii="Times New Roman" w:cs="Times New Roman" w:eastAsia="Times New Roman" w:hAnsi="Times New Roman"/>
          <w:sz w:val="18"/>
          <w:szCs w:val="18"/>
          <w:color w:val="auto"/>
        </w:rPr>
      </w:pPr>
    </w:p>
    <w:p>
      <w:pPr>
        <w:ind w:left="1280" w:hanging="318"/>
        <w:spacing w:after="0" w:line="277" w:lineRule="auto"/>
        <w:tabs>
          <w:tab w:leader="none" w:pos="12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SG&amp;A expenses as a percentage of net sales</w:t>
      </w:r>
      <w:r>
        <w:rPr>
          <w:rFonts w:ascii="Times New Roman" w:cs="Times New Roman" w:eastAsia="Times New Roman" w:hAnsi="Times New Roman"/>
          <w:sz w:val="18"/>
          <w:szCs w:val="18"/>
          <w:color w:val="auto"/>
        </w:rPr>
        <w:t>, increased 240 basis points mainly due to higher marketing spend and increased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8" w:name="page39"/>
    <w:bookmarkEnd w:id="38"/>
    <w:p>
      <w:pPr>
        <w:jc w:val="both"/>
        <w:ind w:left="640" w:hanging="315"/>
        <w:spacing w:after="0" w:line="261"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Kate Spade Operating Income </w:t>
      </w:r>
      <w:r>
        <w:rPr>
          <w:rFonts w:ascii="Times New Roman" w:cs="Times New Roman" w:eastAsia="Times New Roman" w:hAnsi="Times New Roman"/>
          <w:sz w:val="18"/>
          <w:szCs w:val="18"/>
          <w:color w:val="auto"/>
        </w:rPr>
        <w:t>increased $0.4 million to $27.0 million in the first quarter of fiscal 2025, resulting in an operating margin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 basis points to 9.6%, as compared to $26.6 million and operating margin of 8.8% in the first quarter of fiscal 2024. This increase in operating margin was primarily attributed to:</w:t>
      </w:r>
    </w:p>
    <w:p>
      <w:pPr>
        <w:spacing w:after="0" w:line="68" w:lineRule="exact"/>
        <w:rPr>
          <w:rFonts w:ascii="Times New Roman" w:cs="Times New Roman" w:eastAsia="Times New Roman" w:hAnsi="Times New Roman"/>
          <w:sz w:val="18"/>
          <w:szCs w:val="18"/>
          <w:i w:val="1"/>
          <w:iCs w:val="1"/>
          <w:color w:val="auto"/>
        </w:rPr>
      </w:pPr>
    </w:p>
    <w:p>
      <w:pPr>
        <w:ind w:left="1280" w:hanging="318"/>
        <w:spacing w:after="0"/>
        <w:tabs>
          <w:tab w:leader="none" w:pos="1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increased 140 basis points mainly due to lower freight costs;</w:t>
      </w:r>
    </w:p>
    <w:p>
      <w:pPr>
        <w:spacing w:after="0" w:line="111" w:lineRule="exact"/>
        <w:rPr>
          <w:rFonts w:ascii="Times New Roman" w:cs="Times New Roman" w:eastAsia="Times New Roman" w:hAnsi="Times New Roman"/>
          <w:sz w:val="18"/>
          <w:szCs w:val="18"/>
          <w:color w:val="auto"/>
        </w:rPr>
      </w:pPr>
    </w:p>
    <w:p>
      <w:pPr>
        <w:ind w:left="1280" w:hanging="318"/>
        <w:spacing w:after="0" w:line="277" w:lineRule="auto"/>
        <w:tabs>
          <w:tab w:leader="none" w:pos="127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SG&amp;A expenses as a percentage of net sales, </w:t>
      </w:r>
      <w:r>
        <w:rPr>
          <w:rFonts w:ascii="Times New Roman" w:cs="Times New Roman" w:eastAsia="Times New Roman" w:hAnsi="Times New Roman"/>
          <w:sz w:val="18"/>
          <w:szCs w:val="18"/>
          <w:color w:val="auto"/>
        </w:rPr>
        <w:t>increased 60 basis points mainly driven by higher occupancy costs due to one time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 relocation, higher marketing spend, partially offset by lower depreciation.</w:t>
      </w:r>
    </w:p>
    <w:p>
      <w:pPr>
        <w:spacing w:after="0" w:line="53"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Stuart Weitzman Operating Loss </w:t>
      </w:r>
      <w:r>
        <w:rPr>
          <w:rFonts w:ascii="Times New Roman" w:cs="Times New Roman" w:eastAsia="Times New Roman" w:hAnsi="Times New Roman"/>
          <w:sz w:val="18"/>
          <w:szCs w:val="18"/>
          <w:color w:val="auto"/>
        </w:rPr>
        <w:t>decreased $1.2 million to a loss of $7.4 million in the first quarter of fiscal 2025, resulting in an operating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260 basis points to (13.7)%, as compared to an operating loss of $8.6 million in the first quarter of fiscal 2024 and an operating margin of (16.3)%.</w:t>
      </w:r>
    </w:p>
    <w:p>
      <w:pPr>
        <w:spacing w:after="0" w:line="68" w:lineRule="exact"/>
        <w:rPr>
          <w:rFonts w:ascii="Times New Roman" w:cs="Times New Roman" w:eastAsia="Times New Roman" w:hAnsi="Times New Roman"/>
          <w:sz w:val="18"/>
          <w:szCs w:val="18"/>
          <w:i w:val="1"/>
          <w:iCs w:val="1"/>
          <w:color w:val="auto"/>
        </w:rPr>
      </w:pPr>
    </w:p>
    <w:p>
      <w:pPr>
        <w:jc w:val="both"/>
        <w:ind w:left="640" w:hanging="315"/>
        <w:spacing w:after="0" w:line="25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Operating Expenses </w:t>
      </w:r>
      <w:r>
        <w:rPr>
          <w:rFonts w:ascii="Times New Roman" w:cs="Times New Roman" w:eastAsia="Times New Roman" w:hAnsi="Times New Roman"/>
          <w:sz w:val="18"/>
          <w:szCs w:val="18"/>
          <w:color w:val="auto"/>
        </w:rPr>
        <w:t>increased 13.3% or $18.1 million to $154.2 million in the first quarter of fiscal 2025. Excluding items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comparability, Corporate operating expenses increased $4.3 million to $120.8 million from $116.5 million in the first quarter of fiscal 2024. This increase in operating expenses was attributed to an increase in SG&amp;A expenses primarily due to higher compensation costs and higher professional fees, partially offset by lower occupancy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1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color w:val="auto"/>
        </w:rPr>
        <w:t>Net interest expense increased $17.4 million to $30.7 million in the first quarter of fiscal 2025 as compared to $13.3 million in the first quarter of fiscal 2024. Excluding items affecting comparability, net interest expense decreased $13.3 million to $(6.7) million from $6.6 million in the first quarter of fiscal</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2024. This decrease in Interest expense, net, was due to a decrease in interest expense on the Term Loan due 2027 as a result of repayment in fiscal 2024 and higher interest income.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income increased $5.8 million to $4.4 million in the first quarter of fiscal 2025 as compared to Other expense of $1.4 million in the first quarter of fiscal 2024. This increase in other income was related to an increase in foreign exchange gains.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effective tax rate was 17.3% in the first quarter of fiscal 2025 as compared to 18.2% in the first quarter of fiscal 2024. Excluding items affecting comparability, the effective tax rate was 18.5% in the first quarter of fiscal 2025 as compared to 18.3% in the first quarter of fiscal 2024.</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Net income decreased 4.3% or $8.4 million to $186.6 million in the first quarter of fiscal 2025 as compared to $195.0 million in the first quarter of fiscal 2024. Excluding items affecting comparability, net income increased $25.3 million to $241.6 million in the first quarter of fiscal 2025 from $216.3 million in the first quarter of fiscal 2024.</w:t>
      </w: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Net income per diluted share was $0.79 in the first quarter of fiscal 2025 as compared to net income per diluted share of $0.84 in the first quarter of fiscal 2024. Excluding items affecting comparability, net income per diluted share increased $0.09 to $1.02 in the first quarter of fiscal 2025 from $0.93 in the first quarter of fiscal 2024, primarily due to higher net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 Company’s reported results are presented in accordance with GAAP. The reported SG&amp;A expenses, operating income, interest expense, provision for income taxes, net income and earnings per diluted share in the first quarter of fiscal 2025 and fiscal 2024 reflect certain items affecting comparability, including the impact of Acquisition costs. As a supplement to the Company's reported results, these metrics are also reported on a non-GAAP basis to exclude the impact of these items along with a reconciliation to the most directly comparable GAAP measures.</w:t>
      </w:r>
    </w:p>
    <w:p>
      <w:pPr>
        <w:spacing w:after="0" w:line="7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These non-GAAP performance measures were used by management to conduct and evaluate its business during its regular review of operating results for the periods affected. Management and the Company’s Board utilized these non-GAAP measures to make decisions about the uses of Company resources, analyze performance between periods, develop internal projections and measure management performance. The Company’s internal management reporting excluded these items. In addition, the human resources committee of the Company’s Board uses these non-GAAP measures when setting and assessing achievement of incentive compensation goals.</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operates on a global basis and reports financial results in U.S. dollars in accordance with GAAP. Fluctuations in foreign currency exchange rates can affect the amounts reported by the Company in U.S. dollars with respect to its foreign revenues and profit. Accordingly, certain material increases and decreases in operating results for the Company and its segments have been presented both including and excluding currency fluctuation effects. These effects occur from translating foreign-denominated amounts into U.S. dollars and comparing to the same period in the prior fiscal year. Constant currency information compares results between periods as if exchange rates had remained constant period-over-period. The Company calculates constant currency revenue results by translating current period revenue in local currency using the prior year period's currency conversion rate.</w:t>
      </w:r>
    </w:p>
    <w:p>
      <w:pPr>
        <w:spacing w:after="0" w:line="7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believe these non-GAAP measures are useful to investors and others in evaluating the Company’s ongoing operating and financial results in a manner that is consistent with management's evaluation of business performance and understanding how such results compare with the Company’s historical performance. Additionally, we believe presenting certain increases and decreases in constant currency provides a framework for assessing the performance of the Company's business outside the United States and helps investors and analysts understand the effect of significant year-over-year currency fluctuations. We believe excluding these items assists investors and others in developing expectations of future performance.</w:t>
      </w:r>
    </w:p>
    <w:p>
      <w:pPr>
        <w:spacing w:after="0" w:line="78"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By providing the non-GAAP measures, as a supplement to GAAP information, we believe we are enhancing investors’ understanding of our business and our results of operations. The non-GAAP financial measures are limited in their usefulness and should be considered in addition to, and not in lieu of, GAAP financial measures. Further, these non-GAAP measures may be unique to the Company, as they may be different from non-GAAP measures used by other companies.</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a detailed discussion on these non-GAAP measures, see the GAAP to Non-GAAP Reconciliation discussions above in this Item 2. "Management’s Discussion and Analysis of Financial Condition and Results of Operations."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1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8"/>
        </w:trPr>
        <w:tc>
          <w:tcPr>
            <w:tcW w:w="6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left="1071"/>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66"/>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40"/>
              <w:spacing w:after="0" w:line="166"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60" w:type="dxa"/>
            <w:vAlign w:val="bottom"/>
          </w:tcPr>
          <w:p>
            <w:pPr>
              <w:spacing w:after="0"/>
              <w:rPr>
                <w:sz w:val="14"/>
                <w:szCs w:val="14"/>
                <w:color w:val="auto"/>
              </w:rPr>
            </w:pPr>
          </w:p>
        </w:tc>
        <w:tc>
          <w:tcPr>
            <w:tcW w:w="1380" w:type="dxa"/>
            <w:vAlign w:val="bottom"/>
            <w:gridSpan w:val="2"/>
          </w:tcPr>
          <w:p>
            <w:pPr>
              <w:ind w:left="60"/>
              <w:spacing w:after="0" w:line="166" w:lineRule="exact"/>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9"/>
        </w:trPr>
        <w:tc>
          <w:tcPr>
            <w:tcW w:w="6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Change</w:t>
            </w:r>
          </w:p>
        </w:tc>
      </w:tr>
      <w:tr>
        <w:trPr>
          <w:trHeight w:val="179"/>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(millions)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2"/>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2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4"/>
        </w:trPr>
        <w:tc>
          <w:tcPr>
            <w:tcW w:w="6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cash and cash equivalents increased by $320.9 million in the first quarter of fiscal 2025 as compared to a decrease of $104.0 million in the first quarter of fiscal 2024, as discussed below.</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increased $44.2 million primarily due to changes in operating assets and liabilities of $104.6 million, lower impact of non-cash adjustments of $52.0 million, as well as lower net income of $8.4 million.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$104.6 million increase in changes in operating asset and liability balances were primarily driven by the following:</w:t>
      </w:r>
    </w:p>
    <w:p>
      <w:pPr>
        <w:spacing w:after="0" w:line="112" w:lineRule="exact"/>
        <w:rPr>
          <w:sz w:val="20"/>
          <w:szCs w:val="20"/>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were a source of cash of $92.9 million in the first quarter of fiscal 2025 compared to a use of cash of $28.4 million in the first quarter of fiscal 2024, primarily driven by higher in-transit inventory and the timing of payments compared to the prior year.</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Accrued liabilities were a source of cash of $32.0 million in the first quarter of fiscal 2025 compared to a use of cash of $62.0 million in the first quarter of fiscal 2024, primarily driven by an increase in accrued interest due to issuance of the Capri Acquisition Senior Notes, partially offset by accrued incentive compensation.</w:t>
      </w:r>
    </w:p>
    <w:p>
      <w:pPr>
        <w:spacing w:after="0" w:line="71" w:lineRule="exact"/>
        <w:rPr>
          <w:rFonts w:ascii="Times New Roman" w:cs="Times New Roman" w:eastAsia="Times New Roman" w:hAnsi="Times New Roman"/>
          <w:sz w:val="18"/>
          <w:szCs w:val="18"/>
          <w:i w:val="1"/>
          <w:iCs w:val="1"/>
          <w:color w:val="auto"/>
        </w:rPr>
      </w:pPr>
    </w:p>
    <w:p>
      <w:pPr>
        <w:jc w:val="both"/>
        <w:ind w:left="640" w:hanging="315"/>
        <w:spacing w:after="0" w:line="260"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assets were a use of cash of $11.5 million in the first quarter of fiscal 2025 compared to a use of cash of $43.1 million in the first quarter of fiscal 2024, primarily driven by a decrease in prepaid expenses due to the timing of renewed information technology projects and insurance prepayments.</w:t>
      </w:r>
    </w:p>
    <w:p>
      <w:pPr>
        <w:spacing w:after="0" w:line="71" w:lineRule="exact"/>
        <w:rPr>
          <w:rFonts w:ascii="Times New Roman" w:cs="Times New Roman" w:eastAsia="Times New Roman" w:hAnsi="Times New Roman"/>
          <w:sz w:val="18"/>
          <w:szCs w:val="18"/>
          <w:i w:val="1"/>
          <w:iCs w:val="1"/>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Inventories were a use of cash of $181.4 million in the first quarter of fiscal 2025 compared to a use of cash of $29.8 million in the first quarter of fiscal 2024, primarily driven by higher in-transit inventory.</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11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Net cash provided by investing activities in the first quarter of fiscal 2025 was $190.1 million as compared to a use of cash of $22.8 million in the first quarter of fiscal 2024, resulting in a $212.9 million increase in net cash provided by investing activities.</w:t>
      </w:r>
    </w:p>
    <w:p>
      <w:pPr>
        <w:spacing w:after="0" w:line="5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$190.1 million of cash provided in the first quarter of fiscal 2025 was primarily due to maturities and sales of investments of $1.7 billion, partially offset by purchases of investments of $1.5 billion, mainly related to the proceeds of the Capri Acquisition Senior Notes.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$22.8 million use of cash in the first quarter of fiscal 2024 was primarily due to capital expenditures of $20.9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p>
      <w:pPr>
        <w:spacing w:after="0" w:line="114"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Net cash used in financing activities was $74.5 million in the first quarter of fiscal 2025 as compared to a use of cash of $149.4 million in the first quarter of fiscal 2024, resulting in a net decrease in use of cash for financing activities of $74.9 million.</w:t>
      </w:r>
    </w:p>
    <w:p>
      <w:pPr>
        <w:spacing w:after="0" w:line="5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$74.5 million of cash used in the first quarter of fiscal 2025 was primarily due to dividend payments of $81.4 million and taxes paid to net settle share-based awards of $34.5 million, partially offset by proceeds from share-based awards of $41.7 million.</w:t>
      </w:r>
    </w:p>
    <w:p>
      <w:pPr>
        <w:spacing w:after="0" w:line="5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$149.4 million of cash used in the first quarter of fiscal 2024 was primarily due to dividend payments of $80.2 million and taxes paid to net settle share-based awards of $31.6 million as well as debt issuance costs of $31.4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114"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was $85.8 million as compared to $(7.1) million in the first quarter of fiscal 2024 primarily driven by the impact of changes in the exchange rate of the United States Dollar against the Euro on the Capri Acquisition EUR Senior Notes.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Capital Expenditures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financial condition as of September 28, 2024 and June 29,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29, 2024</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Change</w:t>
            </w:r>
          </w:p>
        </w:tc>
      </w:tr>
      <w:tr>
        <w:trPr>
          <w:trHeight w:val="186"/>
        </w:trPr>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2"/>
        </w:trPr>
        <w:tc>
          <w:tcPr>
            <w:tcW w:w="180" w:type="dxa"/>
            <w:vAlign w:val="bottom"/>
          </w:tcPr>
          <w:p>
            <w:pPr>
              <w:spacing w:after="0"/>
              <w:rPr>
                <w:sz w:val="20"/>
                <w:szCs w:val="20"/>
                <w:color w:val="auto"/>
              </w:rPr>
            </w:pPr>
          </w:p>
        </w:tc>
        <w:tc>
          <w:tcPr>
            <w:tcW w:w="6540" w:type="dxa"/>
            <w:vAlign w:val="bottom"/>
            <w:gridSpan w:val="2"/>
            <w:shd w:val="clear" w:color="auto" w:fill="CCEEFF"/>
          </w:tcPr>
          <w:p>
            <w:pPr>
              <w:spacing w:after="0" w:line="232" w:lineRule="exact"/>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320.9</w:t>
            </w:r>
          </w:p>
        </w:tc>
      </w:tr>
      <w:tr>
        <w:trPr>
          <w:trHeight w:val="226"/>
        </w:trPr>
        <w:tc>
          <w:tcPr>
            <w:tcW w:w="180" w:type="dxa"/>
            <w:vAlign w:val="bottom"/>
          </w:tcPr>
          <w:p>
            <w:pPr>
              <w:spacing w:after="0"/>
              <w:rPr>
                <w:sz w:val="19"/>
                <w:szCs w:val="19"/>
                <w:color w:val="auto"/>
              </w:rPr>
            </w:pPr>
          </w:p>
        </w:tc>
        <w:tc>
          <w:tcPr>
            <w:tcW w:w="654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r>
      <w:tr>
        <w:trPr>
          <w:trHeight w:val="226"/>
        </w:trPr>
        <w:tc>
          <w:tcPr>
            <w:tcW w:w="180" w:type="dxa"/>
            <w:vAlign w:val="bottom"/>
          </w:tcPr>
          <w:p>
            <w:pPr>
              <w:spacing w:after="0"/>
              <w:rPr>
                <w:sz w:val="19"/>
                <w:szCs w:val="19"/>
                <w:color w:val="auto"/>
              </w:rPr>
            </w:pPr>
          </w:p>
        </w:tc>
        <w:tc>
          <w:tcPr>
            <w:tcW w:w="6540" w:type="dxa"/>
            <w:vAlign w:val="bottom"/>
            <w:gridSpan w:val="2"/>
            <w:shd w:val="clear" w:color="auto" w:fill="CCEEFF"/>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Current debt</w:t>
            </w:r>
            <w:r>
              <w:rPr>
                <w:rFonts w:ascii="Times New Roman" w:cs="Times New Roman" w:eastAsia="Times New Roman" w:hAnsi="Times New Roman"/>
                <w:sz w:val="23"/>
                <w:szCs w:val="23"/>
                <w:b w:val="1"/>
                <w:bCs w:val="1"/>
                <w:color w:val="auto"/>
                <w:vertAlign w:val="superscript"/>
              </w:rPr>
              <w:t>(2)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6"/>
        </w:trPr>
        <w:tc>
          <w:tcPr>
            <w:tcW w:w="180" w:type="dxa"/>
            <w:vAlign w:val="bottom"/>
          </w:tcPr>
          <w:p>
            <w:pPr>
              <w:spacing w:after="0"/>
              <w:rPr>
                <w:sz w:val="19"/>
                <w:szCs w:val="19"/>
                <w:color w:val="auto"/>
              </w:rPr>
            </w:pPr>
          </w:p>
        </w:tc>
        <w:tc>
          <w:tcPr>
            <w:tcW w:w="6540" w:type="dxa"/>
            <w:vAlign w:val="bottom"/>
            <w:tcBorders>
              <w:bottom w:val="single" w:sz="8" w:color="CCEEFF"/>
            </w:tcBorders>
            <w:gridSpan w:val="2"/>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(7,008.3)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r>
      <w:tr>
        <w:trPr>
          <w:trHeight w:val="244"/>
        </w:trPr>
        <w:tc>
          <w:tcPr>
            <w:tcW w:w="180" w:type="dxa"/>
            <w:vAlign w:val="bottom"/>
          </w:tcPr>
          <w:p>
            <w:pPr>
              <w:spacing w:after="0"/>
              <w:rPr>
                <w:sz w:val="20"/>
                <w:szCs w:val="20"/>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r>
      <w:tr>
        <w:trPr>
          <w:trHeight w:val="20"/>
        </w:trPr>
        <w:tc>
          <w:tcPr>
            <w:tcW w:w="1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52"/>
        </w:trPr>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4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35" w:lineRule="exact"/>
        <w:rPr>
          <w:sz w:val="20"/>
          <w:szCs w:val="20"/>
          <w:color w:val="auto"/>
        </w:rPr>
      </w:pPr>
    </w:p>
    <w:p>
      <w:pPr>
        <w:ind w:left="260" w:hanging="254"/>
        <w:spacing w:after="0"/>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September 28, 2024, approximately 3.9% of our cash and short-term investments were held outside the United States.</w:t>
      </w:r>
    </w:p>
    <w:p>
      <w:pPr>
        <w:spacing w:after="0" w:line="80" w:lineRule="exact"/>
        <w:rPr>
          <w:rFonts w:ascii="Times New Roman" w:cs="Times New Roman" w:eastAsia="Times New Roman" w:hAnsi="Times New Roman"/>
          <w:sz w:val="23"/>
          <w:szCs w:val="23"/>
          <w:color w:val="auto"/>
          <w:vertAlign w:val="superscript"/>
        </w:rPr>
      </w:pPr>
    </w:p>
    <w:p>
      <w:pPr>
        <w:ind w:left="260" w:hanging="254"/>
        <w:spacing w:after="0" w:line="216" w:lineRule="auto"/>
        <w:tabs>
          <w:tab w:leader="none" w:pos="26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discussion of the carrying values of our debt.</w:t>
      </w:r>
    </w:p>
    <w:p>
      <w:pPr>
        <w:spacing w:after="0" w:line="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6" w:lineRule="exact"/>
        <w:rPr>
          <w:sz w:val="20"/>
          <w:szCs w:val="20"/>
          <w:color w:val="auto"/>
        </w:rPr>
      </w:pPr>
    </w:p>
    <w:p>
      <w:pPr>
        <w:ind w:right="100" w:firstLine="319"/>
        <w:spacing w:after="0" w:line="275" w:lineRule="auto"/>
        <w:rPr>
          <w:sz w:val="20"/>
          <w:szCs w:val="20"/>
          <w:color w:val="auto"/>
        </w:rPr>
      </w:pPr>
      <w:r>
        <w:rPr>
          <w:rFonts w:ascii="Times New Roman" w:cs="Times New Roman" w:eastAsia="Times New Roman" w:hAnsi="Times New Roman"/>
          <w:sz w:val="18"/>
          <w:szCs w:val="18"/>
          <w:color w:val="auto"/>
        </w:rPr>
        <w:t>Our primary sources of liquidity are the cash flows generated from our operations, our cash and cash equivalents and short-term investments, availability under our credit facilities, and other available financing options.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total availability, borrowings outstanding and remaining availability under our credit facilities as of September 28,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Remaining Availability</w:t>
            </w:r>
          </w:p>
        </w:tc>
      </w:tr>
      <w:tr>
        <w:trPr>
          <w:trHeight w:val="186"/>
        </w:trPr>
        <w:tc>
          <w:tcPr>
            <w:tcW w:w="3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32"/>
        </w:trPr>
        <w:tc>
          <w:tcPr>
            <w:tcW w:w="320" w:type="dxa"/>
            <w:vAlign w:val="bottom"/>
          </w:tcPr>
          <w:p>
            <w:pPr>
              <w:spacing w:after="0"/>
              <w:rPr>
                <w:sz w:val="20"/>
                <w:szCs w:val="20"/>
                <w:color w:val="auto"/>
              </w:rPr>
            </w:pPr>
          </w:p>
        </w:tc>
        <w:tc>
          <w:tcPr>
            <w:tcW w:w="4460" w:type="dxa"/>
            <w:vAlign w:val="bottom"/>
            <w:gridSpan w:val="2"/>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23"/>
                <w:szCs w:val="23"/>
                <w:b w:val="1"/>
                <w:bCs w:val="1"/>
                <w:color w:val="auto"/>
                <w:vertAlign w:val="superscript"/>
              </w:rPr>
              <w:t>(1)</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4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r>
      <w:tr>
        <w:trPr>
          <w:trHeight w:val="226"/>
        </w:trPr>
        <w:tc>
          <w:tcPr>
            <w:tcW w:w="320" w:type="dxa"/>
            <w:vAlign w:val="bottom"/>
          </w:tcPr>
          <w:p>
            <w:pPr>
              <w:spacing w:after="0"/>
              <w:rPr>
                <w:sz w:val="19"/>
                <w:szCs w:val="19"/>
                <w:color w:val="auto"/>
              </w:rPr>
            </w:pPr>
          </w:p>
        </w:tc>
        <w:tc>
          <w:tcPr>
            <w:tcW w:w="44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Capri Acquisition Term Loan Facilities</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r>
      <w:tr>
        <w:trPr>
          <w:trHeight w:val="226"/>
        </w:trPr>
        <w:tc>
          <w:tcPr>
            <w:tcW w:w="320" w:type="dxa"/>
            <w:vAlign w:val="bottom"/>
          </w:tcPr>
          <w:p>
            <w:pPr>
              <w:spacing w:after="0"/>
              <w:rPr>
                <w:sz w:val="19"/>
                <w:szCs w:val="19"/>
                <w:color w:val="auto"/>
              </w:rPr>
            </w:pPr>
          </w:p>
        </w:tc>
        <w:tc>
          <w:tcPr>
            <w:tcW w:w="44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China Credit Facility</w:t>
            </w:r>
            <w:r>
              <w:rPr>
                <w:rFonts w:ascii="Times New Roman" w:cs="Times New Roman" w:eastAsia="Times New Roman" w:hAnsi="Times New Roman"/>
                <w:sz w:val="23"/>
                <w:szCs w:val="23"/>
                <w:b w:val="1"/>
                <w:bCs w:val="1"/>
                <w:color w:val="auto"/>
                <w:vertAlign w:val="superscript"/>
              </w:rPr>
              <w:t>(1)(2)</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r>
      <w:tr>
        <w:trPr>
          <w:trHeight w:val="219"/>
        </w:trPr>
        <w:tc>
          <w:tcPr>
            <w:tcW w:w="3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w:t>
            </w:r>
          </w:p>
        </w:tc>
      </w:tr>
      <w:tr>
        <w:trPr>
          <w:trHeight w:val="20"/>
        </w:trPr>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72"/>
        </w:trPr>
        <w:tc>
          <w:tcPr>
            <w:tcW w:w="3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148" w:lineRule="exact"/>
        <w:rPr>
          <w:sz w:val="20"/>
          <w:szCs w:val="20"/>
          <w:color w:val="auto"/>
        </w:rPr>
      </w:pPr>
    </w:p>
    <w:p>
      <w:pPr>
        <w:ind w:left="260" w:hanging="254"/>
        <w:spacing w:after="0"/>
        <w:tabs>
          <w:tab w:leader="none" w:pos="26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Note 11, "Debt" for further information on these instruments.</w:t>
      </w:r>
    </w:p>
    <w:p>
      <w:pPr>
        <w:spacing w:after="0" w:line="67" w:lineRule="exact"/>
        <w:rPr>
          <w:rFonts w:ascii="Times New Roman" w:cs="Times New Roman" w:eastAsia="Times New Roman" w:hAnsi="Times New Roman"/>
          <w:sz w:val="23"/>
          <w:szCs w:val="23"/>
          <w:color w:val="auto"/>
          <w:vertAlign w:val="superscript"/>
        </w:rPr>
      </w:pPr>
    </w:p>
    <w:p>
      <w:pPr>
        <w:ind w:left="280" w:hanging="274"/>
        <w:spacing w:after="0" w:line="228" w:lineRule="auto"/>
        <w:tabs>
          <w:tab w:leader="none" w:pos="28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carrying amounts of the China Credit Facility include the impact of changes in the exchange rate of the United States Dollar against the RMB.</w:t>
      </w:r>
    </w:p>
    <w:p>
      <w:pPr>
        <w:spacing w:after="0" w:line="87" w:lineRule="exact"/>
        <w:rPr>
          <w:sz w:val="20"/>
          <w:szCs w:val="20"/>
          <w:color w:val="auto"/>
        </w:rPr>
      </w:pPr>
    </w:p>
    <w:p>
      <w:pPr>
        <w:jc w:val="both"/>
        <w:ind w:right="100" w:firstLine="319"/>
        <w:spacing w:after="0" w:line="253" w:lineRule="auto"/>
        <w:rPr>
          <w:sz w:val="20"/>
          <w:szCs w:val="20"/>
          <w:color w:val="auto"/>
        </w:rPr>
      </w:pPr>
      <w:r>
        <w:rPr>
          <w:rFonts w:ascii="Times New Roman" w:cs="Times New Roman" w:eastAsia="Times New Roman" w:hAnsi="Times New Roman"/>
          <w:sz w:val="18"/>
          <w:szCs w:val="18"/>
          <w:color w:val="auto"/>
        </w:rPr>
        <w:t>We believe that our Revolving Credit Facility is adequately diversified with no undue concentrations in any one financial institution. As of September 28, 2024, there were 18 financial institutions participating in the Revolving Credit Facility and 24 financial institutions participating in the Capri Acquisition Term Loan Facilities, with no one participant maintaining a combined maximum commitment percentage in excess of 10%. We have no reason to believe at this time that the participating institutions will be unable to fulfill their obligations to provide financing in accordance with the terms of the facility in the event we elect to draw funds in the foreseeable future.</w:t>
      </w:r>
    </w:p>
    <w:p>
      <w:pPr>
        <w:spacing w:after="0" w:line="78" w:lineRule="exact"/>
        <w:rPr>
          <w:sz w:val="20"/>
          <w:szCs w:val="20"/>
          <w:color w:val="auto"/>
        </w:rPr>
      </w:pPr>
    </w:p>
    <w:p>
      <w:pPr>
        <w:jc w:val="both"/>
        <w:ind w:right="100" w:firstLine="319"/>
        <w:spacing w:after="0" w:line="260" w:lineRule="auto"/>
        <w:rPr>
          <w:sz w:val="20"/>
          <w:szCs w:val="20"/>
          <w:color w:val="auto"/>
        </w:rPr>
      </w:pPr>
      <w:r>
        <w:rPr>
          <w:rFonts w:ascii="Times New Roman" w:cs="Times New Roman" w:eastAsia="Times New Roman" w:hAnsi="Times New Roman"/>
          <w:sz w:val="18"/>
          <w:szCs w:val="18"/>
          <w:color w:val="auto"/>
        </w:rPr>
        <w:t>We have the ability to draw on our credit facilities or access other sources of financing options available to us in the credit and capital markets for, among other things, acquisition or integration-related costs, our restructuring initiatives, settlement of a material contingency, or a material adverse business or macroeconomic development, as well as for other general corporate business purposes.</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82" w:right="239" w:bottom="1440" w:gutter="0" w:footer="0" w:header="0"/>
        </w:sectPr>
      </w:pPr>
    </w:p>
    <w:bookmarkStart w:id="42" w:name="page43"/>
    <w:bookmarkEnd w:id="42"/>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If (i) the Capri Acquisition has not been completed by February 10, 2025 (or such later date mutually agreed between the Company and Capri) (such date, the “Special Mandatory Redemption End Date”), (ii) prior to the Special Mandatory Redemption End Date, the Merger Agreement is terminated in accordance with its terms or (iii) the Company otherwise notifies the trustee that it will not pursue the consummation of the Capri Acquisition, all of the Capri Acquisition Senior Notes will be redeemed at a redemption price equal to 101% of their principal amount, plus accrued and unpaid interest to, but excluding, the special mandatory redemption date.</w:t>
      </w:r>
    </w:p>
    <w:p>
      <w:pPr>
        <w:spacing w:after="0" w:line="78"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Management believes that cash flows from operations, access to the credit and capital markets and our credit lines, on-hand cash and cash equivalents and our investments will provide adequate funds to support our operating, capital and debt service requirements for fiscal 2025 and beyond. There can be no assurance that any such capital will be available to the Company on acceptable terms or at all. Our ability to fund working capital needs, planned capital expenditures and scheduled debt payments, as well as to comply with all of the financial covenants under our debt agreements, depends on future operating performance and cash flow. This future operating performance and cash flow are subject to prevailing economic conditions, and to financial, business and other factors, some of which are beyond the Company's control.</w:t>
      </w:r>
    </w:p>
    <w:p>
      <w:pPr>
        <w:spacing w:after="0" w:line="7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Reference should be made to our most recent Annual Report on Form 10-K and other filings with the SEC for additional information regarding liquidity and capital resources.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w:t>
      </w:r>
    </w:p>
    <w:p>
      <w:pPr>
        <w:spacing w:after="0" w:line="116"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To improve our working capital efficiency, we make available to certain suppliers, a voluntary supply chain finance (“SCF”) program that enables our suppliers to sell their receivables from the Company to a global financial institution on a non-recourse basis at a rate that leverages our credit rating. We do not have the ability to refinance or modify payment terms to the global financial institution through the SCF program. No guarantees are provided by the Company or any of our subsidiaries under the SCF program. Refer to Note 2, "Basis of Presentation and Organization," for additional information.</w:t>
      </w: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1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During the first quarter of fiscal 2025 capital expenditures and cloud computing implementation costs were $29.6 million. The Company expects total fiscal 2025 capital expenditures and cloud computing cost to be approximately $190 million. Certain cloud computing implementation costs are recognized within Prepaid expenses and Other assets on the Condensed Consolidated Balance Sheets.</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w:t>
      </w:r>
    </w:p>
    <w:p>
      <w:pPr>
        <w:spacing w:after="0" w:line="11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May 12, 2022, the Company announced the Board of Directors authorized the additional repurchase of up to $1.50 billion of its common stock (the "2022 Share Repurchase Program"). Pursuant to this program, purchases of the Company's common stock will be made subject to market conditions and at prevailing market prices, through open market purchases. Repurchased shares of common stock will become authorized but unissued shares. These shares may be issued in the future for general corporate and other purposes. In addition, the Company may terminate or limit the stock repurchase program at any time. As of September 28, 2024 the Company had $800.0 million of additional shares available to be repurchased as authorized under the 2022 Share Repurchase Program. In August 2023, the Company suspended its share repurchase activity in connection with the Capri Acquisition. Refer to Note 5, "Acquisitions," for further information. There were no shares repurchased during the first quarter of fiscal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3 to the audited consolidated financial statements in our Annual Report on Form 10-K for fiscal 2024. Our discussion of results of operations and financial condition relies on our condensed consolidated financial statements that are prepared based on certain critical accounting policies that require management to make judgments and estimates which are subject to varying degrees of uncertainty. While we believe that these accounting policies are based on sound measurement criteria, actual future events can and often do result in outcomes that can be materially different from these estimates or forecasts.</w:t>
      </w:r>
    </w:p>
    <w:p>
      <w:pPr>
        <w:spacing w:after="0" w:line="78"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and estimates, see the "Critical Accounting Policies and Estimates" section of the Management's Discussion and Analysis of Financial Condition and Results of Operations in our Annual Report on Form 10-K for fiscal 2024. As of September 28, 2024, there have been no material changes to any of the critical accounting policies.</w:t>
      </w:r>
    </w:p>
    <w:p>
      <w:pPr>
        <w:spacing w:after="0" w:line="7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Company performs its annual impairment assessment of goodwill as well as brand intangibles at the beginning of the fourth quarter of each fiscal year. In all fiscal years, the fair values of our Coach brand reporting units significantly exceeded their respective carrying values. The fair values of the Kate Spade brand reporting unit and indefinite-lived brand as of the fiscal 2024 testing date exceeded their carrying values by approximately 20% and 55%, respectively. Several factors could impact the Kate Spade brand's ability to achieve expected future cash flows, including the optimization of the store fleet productivity, the success of international expansion strategies, the impact of promotional activity, continued economic volatility and potential operational challenges related to macroeconomic factors, the reception of new collections in all channels, and other initiatives aimed at increasing profitability of the business. Given the relatively small excess of fair value over carrying value as noted above, if profitability trends decline during fiscal 2025 from those that are expected, it is possible that an interim test, or our annual impairment test, could result in an impairment of those assets.</w:t>
      </w: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jc w:val="both"/>
        <w:ind w:firstLine="319"/>
        <w:spacing w:after="0" w:line="255" w:lineRule="auto"/>
        <w:rPr>
          <w:sz w:val="20"/>
          <w:szCs w:val="20"/>
          <w:color w:val="auto"/>
        </w:rPr>
      </w:pPr>
      <w:r>
        <w:rPr>
          <w:rFonts w:ascii="Times New Roman" w:cs="Times New Roman" w:eastAsia="Times New Roman" w:hAnsi="Times New Roman"/>
          <w:sz w:val="18"/>
          <w:szCs w:val="18"/>
          <w:color w:val="auto"/>
        </w:rPr>
        <w:t>There have been no significant changes to the Company's market risk or the way the Company manages these exposures as set forth in Part II, Item 7A. "Quantitative and Qualitative Disclosures About Market Risk" in the Company’s Annual Report on Form 10-K for the fiscal year ended June 29, 2024. Refer to Note 8, "Derivative Investments and Hedging Activities," Note 11, "Debt," and Note 13, "Investments," included in Part I of this Form 10-Q for additional information.</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evaluated under the supervision and with the participation of management, including our principal executive and principal financial officers, the effectiveness of our disclosure controls and procedures, as is defined in Rules 13a-15(e) and 15d-15(e) of the Securities Exchange Act of 1934, as amended, as of the end of the fiscal quarter covered by this quarterly report. Based on that evaluation, our principal executive and principal financial officers have concluded that the Company's disclosure controls and procedures were effective at the reasonable assurance level as of the fiscal quarter-end covered by this quarterly report on Form 10-Q.</w:t>
      </w:r>
    </w:p>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first quarter of 2025 that were identified in connection with management's evaluation required by paragraph (d) of Rules 13a-15 and 15d-15 under the Securities Exchange Act of 1934, as amended, that have materially affected, or are reasonably likely to materially affect, the Company's internal control over financial reporting.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5" w:lineRule="exact"/>
        <w:rPr>
          <w:sz w:val="20"/>
          <w:szCs w:val="20"/>
          <w:color w:val="auto"/>
        </w:rPr>
      </w:pPr>
    </w:p>
    <w:p>
      <w:pPr>
        <w:ind w:left="1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4"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Company is involved in various routine legal proceedings as both plaintiff and defendant incident to the ordinary course of its business, such as to protect Tapestry, Inc.'s intellectual property rights, litigation instituted by persons alleged to have been injured by advertising claims or upon premises within the Company’s control, contract disputes, insurance claims and litigation, including wage and hour litigation, with present or former employees.</w:t>
      </w:r>
    </w:p>
    <w:p>
      <w:pPr>
        <w:spacing w:after="0" w:line="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Although the Company's litigation can result in large monetary awards, such as when a civil jury is allowed to determine compensatory and/or punitive damages, the Company believes that the outcome of all pending legal proceedings in the aggregate will not have a material effect on the Company's business or condensed consolidated financial statements. There have been no material developments with respect to any previously reported proceedings.</w:t>
      </w:r>
    </w:p>
    <w:p>
      <w:pPr>
        <w:spacing w:after="0" w:line="7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However, as previously disclosed, on August 10, 2023, the Company entered into a Merger Agreement by and among the Company, Merger Sub and Capri, pursuant to which, among other things, Merger Sub will merge with and into Capri (the “Merger”) with Capri surviving the Merger and continuing as a wholly owned subsidiary of the Company. In connection with the Company’s proposed acquisition of Capri, we have been named as a defendant in legal proceedings by the FTC. On April 22, 2024, the FTC filed a lawsuit in the United States District Court for the Southern District of New York against us and Capri seeking to block the proposed acquisition of Capri, claiming that the proposed acquisition would violate Section 7 of the Clayton Act and that the Merger Agreement and the Merger constitute unfair methods of competition in violation of Section 5 of the Federal Trade Commission Act and should be enjoined. The trial commenced on September 9, 2024, and on October 24, 2024, the Court issued its Opinion and Order granting the FTC's request for a preliminary injunction of the Merger, pending an administrative trial on the merits which is scheduled to begin on December 9, 2024. On October 28, 2024, the Company and Capri filed a Notice of Appeal with respect to the October 24, 2024 Opinion and Order. On November 6, 2024, the United States Court of Appeals for the Second Circuit entered an order setting an expedited briefing schedule for the appeal of the decision of the United States District Court of the Southern District of New York granting the preliminary injunction of the merger.</w:t>
      </w:r>
    </w:p>
    <w:p>
      <w:pPr>
        <w:spacing w:after="0" w:line="1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Refer to Part I, Item 1A, "Risk Factors" in our Annual Report on Form 10-K for the fiscal year ended June 29, 2024 for a description of certain significant risks and uncertainties to which our business, financial condition and results of operations are subject.</w:t>
      </w:r>
    </w:p>
    <w:p>
      <w:pPr>
        <w:spacing w:after="0" w:line="108" w:lineRule="exact"/>
        <w:rPr>
          <w:sz w:val="20"/>
          <w:szCs w:val="20"/>
          <w:color w:val="auto"/>
        </w:rPr>
      </w:pPr>
    </w:p>
    <w:p>
      <w:pPr>
        <w:ind w:left="960" w:right="1040" w:hanging="796"/>
        <w:spacing w:after="0" w:line="277"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USE OF PROCEEDS AND ISSUER PURCHASES OF EQUITY SECURITIES</w:t>
      </w:r>
    </w:p>
    <w:p>
      <w:pPr>
        <w:spacing w:after="0" w:line="5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May 12, 2022, the Company announced that its Board of Directors authorized a common stock repurchase program to repurchase up to $1.50 billion of its outstanding common stock (the "2022 Share Repurchase Program"). Purchases of the Company's common stock were executed through open market purchases, including through purchase agreements under Rule 10b5-1. The authorized value of shares available to be repurchased under this program excludes the cost of commissions and excise taxes. As of September 28, 2024 the Company had $800 million of additional shares available to be repurchased as authorized under the 2022 Share Repurchase Program. In August 2023, the Company suspended its share repurchase activity in connection with the Merger Agreement with Capri. Refer to Note 5, "Acquisitions," for further information. There were no shares repurchased during the three months ended September 28, 2024.</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There was no adoption, modification or termination of any Rule 10b5-1 plan or other trading arrangements by our directors and officers during the quarter ended September 28, 2024.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5" w:name="page46"/>
    <w:bookmarkEnd w:id="45"/>
    <w:tbl>
      <w:tblPr>
        <w:tblLayout w:type="fixed"/>
        <w:tblInd w:w="154"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31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 xml:space="preserve">Rule 13(a)-14(a)/15(d)-14(a) Certification </w:t>
            </w:r>
            <w:r>
              <w:rPr>
                <w:rFonts w:ascii="Times New Roman" w:cs="Times New Roman" w:eastAsia="Times New Roman" w:hAnsi="Times New Roman"/>
                <w:sz w:val="18"/>
                <w:szCs w:val="18"/>
                <w:color w:val="000000"/>
                <w:w w:val="98"/>
              </w:rPr>
              <w:t>of the Company's Chief Executive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06"/>
        </w:trPr>
        <w:tc>
          <w:tcPr>
            <w:tcW w:w="80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6020" w:type="dxa"/>
            <w:vAlign w:val="bottom"/>
            <w:gridSpan w:val="3"/>
          </w:tcPr>
          <w:p>
            <w:pPr>
              <w:spacing w:after="0" w:line="206" w:lineRule="exact"/>
              <w:rPr>
                <w:sz w:val="20"/>
                <w:szCs w:val="20"/>
                <w:color w:val="auto"/>
              </w:rPr>
            </w:pPr>
            <w:r>
              <w:rPr>
                <w:rFonts w:ascii="Times New Roman" w:cs="Times New Roman" w:eastAsia="Times New Roman" w:hAnsi="Times New Roman"/>
                <w:sz w:val="18"/>
                <w:szCs w:val="18"/>
                <w:color w:val="0000FF"/>
                <w:w w:val="98"/>
              </w:rPr>
              <w:t xml:space="preserve">Rule 13(a)-14(a)/15(d)-14(a) Certification </w:t>
            </w:r>
            <w:r>
              <w:rPr>
                <w:rFonts w:ascii="Times New Roman" w:cs="Times New Roman" w:eastAsia="Times New Roman" w:hAnsi="Times New Roman"/>
                <w:sz w:val="18"/>
                <w:szCs w:val="18"/>
                <w:color w:val="000000"/>
                <w:w w:val="98"/>
              </w:rPr>
              <w:t>of the Company's Chief Financial Officer</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06"/>
        </w:trPr>
        <w:tc>
          <w:tcPr>
            <w:tcW w:w="80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7"/>
                <w:szCs w:val="17"/>
                <w:color w:val="auto"/>
              </w:rPr>
            </w:pPr>
          </w:p>
        </w:tc>
        <w:tc>
          <w:tcPr>
            <w:tcW w:w="94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7"/>
              </w:rPr>
              <w:t>Section 1350</w:t>
            </w:r>
          </w:p>
        </w:tc>
        <w:tc>
          <w:tcPr>
            <w:tcW w:w="50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8"/>
                <w:szCs w:val="18"/>
                <w:color w:val="auto"/>
              </w:rPr>
              <w:t>Certification of the Company's Chief Executive Officer</w:t>
            </w:r>
          </w:p>
        </w:tc>
      </w:tr>
      <w:tr>
        <w:trPr>
          <w:trHeight w:val="206"/>
        </w:trPr>
        <w:tc>
          <w:tcPr>
            <w:tcW w:w="80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7"/>
                <w:szCs w:val="17"/>
                <w:color w:val="auto"/>
              </w:rPr>
            </w:pPr>
          </w:p>
        </w:tc>
        <w:tc>
          <w:tcPr>
            <w:tcW w:w="940" w:type="dxa"/>
            <w:vAlign w:val="bottom"/>
            <w:tcBorders>
              <w:bottom w:val="single" w:sz="8" w:color="0000FF"/>
            </w:tcBorders>
          </w:tcPr>
          <w:p>
            <w:pPr>
              <w:spacing w:after="0" w:line="206" w:lineRule="exact"/>
              <w:rPr>
                <w:sz w:val="20"/>
                <w:szCs w:val="20"/>
                <w:color w:val="auto"/>
              </w:rPr>
            </w:pPr>
            <w:r>
              <w:rPr>
                <w:rFonts w:ascii="Times New Roman" w:cs="Times New Roman" w:eastAsia="Times New Roman" w:hAnsi="Times New Roman"/>
                <w:sz w:val="18"/>
                <w:szCs w:val="18"/>
                <w:color w:val="0000FF"/>
                <w:w w:val="97"/>
              </w:rPr>
              <w:t>Section 1350</w:t>
            </w:r>
          </w:p>
        </w:tc>
        <w:tc>
          <w:tcPr>
            <w:tcW w:w="5080" w:type="dxa"/>
            <w:vAlign w:val="bottom"/>
            <w:gridSpan w:val="2"/>
          </w:tcPr>
          <w:p>
            <w:pPr>
              <w:ind w:left="40"/>
              <w:spacing w:after="0" w:line="206" w:lineRule="exact"/>
              <w:rPr>
                <w:sz w:val="20"/>
                <w:szCs w:val="20"/>
                <w:color w:val="auto"/>
              </w:rPr>
            </w:pPr>
            <w:r>
              <w:rPr>
                <w:rFonts w:ascii="Times New Roman" w:cs="Times New Roman" w:eastAsia="Times New Roman" w:hAnsi="Times New Roman"/>
                <w:sz w:val="18"/>
                <w:szCs w:val="18"/>
                <w:color w:val="auto"/>
              </w:rPr>
              <w:t>Certification of the Company's Chief Financial Officer</w:t>
            </w:r>
          </w:p>
        </w:tc>
      </w:tr>
      <w:tr>
        <w:trPr>
          <w:trHeight w:val="246"/>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ind w:left="854"/>
        <w:spacing w:after="0" w:line="230" w:lineRule="auto"/>
        <w:rPr>
          <w:sz w:val="20"/>
          <w:szCs w:val="20"/>
          <w:color w:val="auto"/>
        </w:rPr>
      </w:pPr>
      <w:r>
        <w:rPr>
          <w:rFonts w:ascii="Times New Roman" w:cs="Times New Roman" w:eastAsia="Times New Roman" w:hAnsi="Times New Roman"/>
          <w:sz w:val="18"/>
          <w:szCs w:val="18"/>
          <w:i w:val="1"/>
          <w:iCs w:val="1"/>
          <w:color w:val="auto"/>
        </w:rPr>
        <w:t>Note: the instance document does not appear in the Interactive Data File because its XBRL tags are embedded within the Inline XBRL document.</w:t>
      </w:r>
    </w:p>
    <w:p>
      <w:pPr>
        <w:spacing w:after="0" w:line="22" w:lineRule="exact"/>
        <w:rPr>
          <w:sz w:val="20"/>
          <w:szCs w:val="20"/>
          <w:color w:val="auto"/>
        </w:rPr>
      </w:pPr>
    </w:p>
    <w:tbl>
      <w:tblPr>
        <w:tblLayout w:type="fixed"/>
        <w:tblInd w:w="154" w:type="dxa"/>
        <w:tblCellMar>
          <w:top w:w="0" w:type="dxa"/>
          <w:left w:w="0" w:type="dxa"/>
          <w:bottom w:w="0" w:type="dxa"/>
          <w:right w:w="0" w:type="dxa"/>
        </w:tblCellMar>
      </w:tblP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w:t>
            </w:r>
          </w:p>
        </w:tc>
      </w:tr>
      <w:tr>
        <w:trPr>
          <w:trHeight w:val="22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6"/>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Inline XBRL Taxonomy Extension Presentation Linkbase</w:t>
            </w:r>
          </w:p>
        </w:tc>
      </w:tr>
      <w:tr>
        <w:trPr>
          <w:trHeight w:val="23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left="-6" w:right="3620" w:firstLine="405"/>
        <w:spacing w:after="0" w:line="577" w:lineRule="auto"/>
        <w:tabs>
          <w:tab w:leader="none" w:pos="10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214" w:hanging="214"/>
        <w:spacing w:after="0"/>
        <w:tabs>
          <w:tab w:leader="none" w:pos="2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1383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5534"/>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74"/>
          </w:cols>
          <w:pgMar w:left="326" w:top="1036" w:right="119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TAPESTRY, INC.</w:t>
      </w:r>
    </w:p>
    <w:p>
      <w:pPr>
        <w:spacing w:after="0" w:line="2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(Registrant)</w:t>
      </w:r>
    </w:p>
    <w:p>
      <w:pPr>
        <w:spacing w:after="0" w:line="239" w:lineRule="exact"/>
        <w:rPr>
          <w:sz w:val="20"/>
          <w:szCs w:val="20"/>
          <w:color w:val="auto"/>
        </w:rPr>
      </w:pPr>
    </w:p>
    <w:tbl>
      <w:tblPr>
        <w:tblLayout w:type="fixed"/>
        <w:tblInd w:w="6320" w:type="dxa"/>
        <w:tblCellMar>
          <w:top w:w="0" w:type="dxa"/>
          <w:left w:w="0" w:type="dxa"/>
          <w:bottom w:w="0" w:type="dxa"/>
          <w:right w:w="0" w:type="dxa"/>
        </w:tblCellMar>
      </w:tblPr>
      <w:tr>
        <w:trPr>
          <w:trHeight w:val="23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Manesh B. Dadlani</w:t>
            </w:r>
          </w:p>
        </w:tc>
      </w:tr>
      <w:tr>
        <w:trPr>
          <w:trHeight w:val="21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Manesh B. Dadlani</w:t>
            </w:r>
          </w:p>
        </w:tc>
      </w:tr>
      <w:tr>
        <w:trPr>
          <w:trHeight w:val="22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32"/>
        </w:trPr>
        <w:tc>
          <w:tcPr>
            <w:tcW w:w="8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0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Joanne C. Crevoiserat, certify that,</w:t>
      </w:r>
    </w:p>
    <w:p>
      <w:pPr>
        <w:spacing w:after="0" w:line="112" w:lineRule="exact"/>
        <w:rPr>
          <w:sz w:val="20"/>
          <w:szCs w:val="20"/>
          <w:color w:val="auto"/>
        </w:rPr>
      </w:pPr>
    </w:p>
    <w:p>
      <w:pPr>
        <w:ind w:left="320" w:hanging="314"/>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78"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15240</wp:posOffset>
            </wp:positionV>
            <wp:extent cx="1981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25"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Joanne C. Crevoiserat</w:t>
      </w:r>
    </w:p>
    <w:p>
      <w:pPr>
        <w:spacing w:after="0" w:line="45"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8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Scott A. Roe, certify that,</w:t>
      </w:r>
    </w:p>
    <w:p>
      <w:pPr>
        <w:spacing w:after="0" w:line="112" w:lineRule="exact"/>
        <w:rPr>
          <w:sz w:val="20"/>
          <w:szCs w:val="20"/>
          <w:color w:val="auto"/>
        </w:rPr>
      </w:pPr>
    </w:p>
    <w:p>
      <w:pPr>
        <w:ind w:left="320" w:hanging="314"/>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Tapestry, Inc.;</w:t>
      </w:r>
    </w:p>
    <w:p>
      <w:pPr>
        <w:spacing w:after="0" w:line="111" w:lineRule="exact"/>
        <w:rPr>
          <w:rFonts w:ascii="Times New Roman" w:cs="Times New Roman" w:eastAsia="Times New Roman" w:hAnsi="Times New Roman"/>
          <w:sz w:val="18"/>
          <w:szCs w:val="18"/>
          <w:color w:val="auto"/>
        </w:rPr>
      </w:pPr>
    </w:p>
    <w:p>
      <w:pPr>
        <w:ind w:left="320" w:hanging="314"/>
        <w:spacing w:after="0" w:line="305"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5"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320" w:hanging="314"/>
        <w:spacing w:after="0" w:line="260"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5"/>
        <w:spacing w:after="0" w:line="275" w:lineRule="auto"/>
        <w:tabs>
          <w:tab w:leader="none" w:pos="6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5"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640" w:hanging="315"/>
        <w:spacing w:after="0" w:line="275" w:lineRule="auto"/>
        <w:tabs>
          <w:tab w:leader="none" w:pos="6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152"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31750</wp:posOffset>
            </wp:positionV>
            <wp:extent cx="1981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Name: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2">
            <w:col w:w="940" w:space="300"/>
            <w:col w:w="10000"/>
          </w:cols>
          <w:pgMar w:left="320" w:top="982" w:right="339" w:bottom="1440" w:gutter="0" w:footer="0" w:header="0"/>
          <w:type w:val="continuous"/>
        </w:sectPr>
      </w:pPr>
    </w:p>
    <w:bookmarkStart w:id="49" w:name="page50"/>
    <w:bookmarkEnd w:id="49"/>
    <w:p>
      <w:pPr>
        <w:ind w:left="990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3" w:lineRule="exact"/>
        <w:rPr>
          <w:sz w:val="20"/>
          <w:szCs w:val="20"/>
          <w:color w:val="auto"/>
        </w:rPr>
      </w:pPr>
    </w:p>
    <w:p>
      <w:pPr>
        <w:ind w:firstLine="325"/>
        <w:spacing w:after="0" w:line="275" w:lineRule="auto"/>
        <w:tabs>
          <w:tab w:leader="none" w:pos="8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28, 2024 (the “Report”) fully complies with the requirements of Section 13(a) or Section 15(d), as applicable, of the Securities Exchange Act of 1934, as amended; and</w:t>
      </w:r>
    </w:p>
    <w:p>
      <w:pPr>
        <w:spacing w:after="0" w:line="56" w:lineRule="exact"/>
        <w:rPr>
          <w:rFonts w:ascii="Times New Roman" w:cs="Times New Roman" w:eastAsia="Times New Roman" w:hAnsi="Times New Roman"/>
          <w:sz w:val="18"/>
          <w:szCs w:val="18"/>
          <w:color w:val="auto"/>
        </w:rPr>
      </w:pPr>
    </w:p>
    <w:p>
      <w:pPr>
        <w:ind w:right="220" w:firstLine="325"/>
        <w:spacing w:after="0" w:line="398" w:lineRule="auto"/>
        <w:tabs>
          <w:tab w:leader="none" w:pos="8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7, 2024</w:t>
      </w:r>
    </w:p>
    <w:p>
      <w:pPr>
        <w:spacing w:after="0" w:line="17"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Joanne C. Crevoiserat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15240</wp:posOffset>
            </wp:positionV>
            <wp:extent cx="1981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pacing w:after="0" w:line="25"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Joanne C. Crevoiserat</w:t>
      </w:r>
    </w:p>
    <w:p>
      <w:pPr>
        <w:spacing w:after="0" w:line="45"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700" w:firstLine="319"/>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p>
      <w:pPr>
        <w:sectPr>
          <w:pgSz w:w="11900" w:h="16838" w:orient="portrait"/>
          <w:cols w:equalWidth="0" w:num="1">
            <w:col w:w="11240"/>
          </w:cols>
          <w:pgMar w:left="320" w:top="985" w:right="339" w:bottom="1440" w:gutter="0" w:footer="0" w:header="0"/>
        </w:sectPr>
      </w:pPr>
    </w:p>
    <w:bookmarkStart w:id="50" w:name="page51"/>
    <w:bookmarkEnd w:id="50"/>
    <w:p>
      <w:pPr>
        <w:ind w:left="9900"/>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Tapestry, Inc. (the “Company”)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certifies, to such officer’s knowledge, that:</w:t>
      </w:r>
    </w:p>
    <w:p>
      <w:pPr>
        <w:spacing w:after="0" w:line="93" w:lineRule="exact"/>
        <w:rPr>
          <w:sz w:val="20"/>
          <w:szCs w:val="20"/>
          <w:color w:val="auto"/>
        </w:rPr>
      </w:pPr>
    </w:p>
    <w:p>
      <w:pPr>
        <w:ind w:firstLine="372"/>
        <w:spacing w:after="0" w:line="275" w:lineRule="auto"/>
        <w:tabs>
          <w:tab w:leader="none" w:pos="85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September 28, 2024 (the “Report”) fully complies with the requirements of Section 13(a) or Section 15(d), as applicable, of the Securities Exchange Act of 1934, as amended; and</w:t>
      </w:r>
    </w:p>
    <w:p>
      <w:pPr>
        <w:spacing w:after="0" w:line="56" w:lineRule="exact"/>
        <w:rPr>
          <w:rFonts w:ascii="Times New Roman" w:cs="Times New Roman" w:eastAsia="Times New Roman" w:hAnsi="Times New Roman"/>
          <w:sz w:val="18"/>
          <w:szCs w:val="18"/>
          <w:color w:val="auto"/>
        </w:rPr>
      </w:pPr>
    </w:p>
    <w:p>
      <w:pPr>
        <w:ind w:right="180" w:firstLine="369"/>
        <w:spacing w:after="0" w:line="392" w:lineRule="auto"/>
        <w:tabs>
          <w:tab w:leader="none" w:pos="8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7, 2024</w:t>
      </w:r>
    </w:p>
    <w:p>
      <w:pPr>
        <w:spacing w:after="0" w:line="1"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Scott A. 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31750</wp:posOffset>
            </wp:positionV>
            <wp:extent cx="1981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81835"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Name:</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32" w:lineRule="exact"/>
        <w:rPr>
          <w:sz w:val="20"/>
          <w:szCs w:val="20"/>
          <w:color w:val="auto"/>
        </w:rPr>
      </w:pPr>
    </w:p>
    <w:p>
      <w:pPr>
        <w:sectPr>
          <w:pgSz w:w="11900" w:h="16838" w:orient="portrait"/>
          <w:cols w:equalWidth="0" w:num="2">
            <w:col w:w="940" w:space="300"/>
            <w:col w:w="10000"/>
          </w:cols>
          <w:pgMar w:left="320" w:top="985" w:right="339" w:bottom="1440" w:gutter="0" w:footer="0" w:header="0"/>
          <w:type w:val="continuous"/>
        </w:sectPr>
      </w:pPr>
    </w:p>
    <w:p>
      <w:pPr>
        <w:spacing w:after="0" w:line="5" w:lineRule="exact"/>
        <w:rPr>
          <w:sz w:val="20"/>
          <w:szCs w:val="20"/>
          <w:color w:val="auto"/>
        </w:rPr>
      </w:pPr>
    </w:p>
    <w:p>
      <w:pPr>
        <w:ind w:right="700" w:firstLine="319"/>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Tapestry, Inc. and will be retained by Tapestry, Inc. and furnished to the Securities and Exchange Commission or its staff upon request.</w:t>
      </w:r>
    </w:p>
    <w:sectPr>
      <w:pgSz w:w="11900" w:h="16838" w:orient="portrait"/>
      <w:cols w:equalWidth="0" w:num="1">
        <w:col w:w="11240"/>
      </w:cols>
      <w:pgMar w:left="320" w:top="98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14"/>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lowerRoman"/>
      <w:start w:val="2"/>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
      <w:numFmt w:val="bullet"/>
      <w:start w:val="1"/>
    </w:lvl>
    <w:lvl w:ilvl="1">
      <w:lvlJc w:val="left"/>
      <w:lvlText w:val="%2"/>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2024-11-07T05:59:34Z</dcterms:created>
  <dcterms:modified xsi:type="dcterms:W3CDTF">2024-11-07T05:59:34Z</dcterms:modified>
</cp:coreProperties>
</file>